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EAD3" w14:textId="715AA7E0" w:rsidR="00CA20F0" w:rsidRPr="003E3864" w:rsidRDefault="009F18C6" w:rsidP="0042574D">
      <w:pPr>
        <w:spacing w:line="240" w:lineRule="auto"/>
        <w:rPr>
          <w:b/>
        </w:rPr>
      </w:pPr>
      <w:bookmarkStart w:id="0" w:name="_Hlk535921507"/>
      <w:r w:rsidRPr="003E3864">
        <w:rPr>
          <w:b/>
        </w:rPr>
        <w:t xml:space="preserve">Participatory Research </w:t>
      </w:r>
      <w:r w:rsidR="00F835D1" w:rsidRPr="003E3864">
        <w:rPr>
          <w:b/>
        </w:rPr>
        <w:t xml:space="preserve">in Mesoamerica </w:t>
      </w:r>
      <w:r w:rsidRPr="003E3864">
        <w:rPr>
          <w:b/>
        </w:rPr>
        <w:t xml:space="preserve">and </w:t>
      </w:r>
      <w:r w:rsidR="00F835D1" w:rsidRPr="003E3864">
        <w:rPr>
          <w:b/>
        </w:rPr>
        <w:t>Data Protection in Europe</w:t>
      </w:r>
      <w:r w:rsidR="002154F3" w:rsidRPr="003E3864">
        <w:rPr>
          <w:b/>
        </w:rPr>
        <w:t xml:space="preserve"> (and elsewhere)</w:t>
      </w:r>
      <w:r w:rsidR="00662D23">
        <w:rPr>
          <w:b/>
        </w:rPr>
        <w:t>. Annals of Anthropological Practice, 2020.</w:t>
      </w:r>
    </w:p>
    <w:bookmarkEnd w:id="0"/>
    <w:p w14:paraId="24510BF7" w14:textId="46024A66" w:rsidR="006C61F1" w:rsidRDefault="001042CA" w:rsidP="003E3864">
      <w:pPr>
        <w:spacing w:line="480" w:lineRule="auto"/>
      </w:pPr>
      <w:r>
        <w:t>Dr Alanna Cant, Department of Archaeology, University of Reading</w:t>
      </w:r>
    </w:p>
    <w:p w14:paraId="121A21DF" w14:textId="24CE801E" w:rsidR="001042CA" w:rsidRDefault="001042CA" w:rsidP="003E3864">
      <w:pPr>
        <w:spacing w:line="480" w:lineRule="auto"/>
      </w:pPr>
      <w:r>
        <w:t>Abstract:</w:t>
      </w:r>
      <w:bookmarkStart w:id="1" w:name="_GoBack"/>
      <w:bookmarkEnd w:id="1"/>
    </w:p>
    <w:p w14:paraId="58A81BB3" w14:textId="77777777" w:rsidR="001042CA" w:rsidRDefault="001042CA" w:rsidP="001042CA">
      <w:r>
        <w:t xml:space="preserve">This essay interrogates the tensions between participatory ethnographic research methods and newly emerging legal regimes of data protection and privacy. Drawing on the example of recent grant-funded research in Mexico, the essay charts how the European General Data Protection Regulation (GDPR) impedes the practices and ethos of participatory research in significant ways. In particular, new legal requirements about data collection, access and storage, and “the right to be forgotten,” effectively preclude integrating community members into research planning or data collection. As countries around the world move towards more robust and comprehensive data protection and privacy laws, the issues raised in this essay are likely to become more pressing in many different research contexts in the future. </w:t>
      </w:r>
    </w:p>
    <w:p w14:paraId="2115B406" w14:textId="6BA21130" w:rsidR="001042CA" w:rsidRDefault="001042CA" w:rsidP="003E3864">
      <w:pPr>
        <w:spacing w:line="480" w:lineRule="auto"/>
      </w:pPr>
    </w:p>
    <w:p w14:paraId="1E42B5BA" w14:textId="6D66A46F" w:rsidR="00CF0DAC" w:rsidRPr="0018273A" w:rsidRDefault="00375DC9" w:rsidP="003E3864">
      <w:pPr>
        <w:spacing w:line="480" w:lineRule="auto"/>
        <w:rPr>
          <w:rFonts w:cstheme="minorHAnsi"/>
        </w:rPr>
      </w:pPr>
      <w:r>
        <w:t>Since at least the 1990s,</w:t>
      </w:r>
      <w:r w:rsidR="008E3A8F">
        <w:t xml:space="preserve"> developing</w:t>
      </w:r>
      <w:r>
        <w:t xml:space="preserve"> participatory research methods have offered anthropologists </w:t>
      </w:r>
      <w:r w:rsidR="008E3A8F">
        <w:t xml:space="preserve">an avenue through which the power hierarchies </w:t>
      </w:r>
      <w:r w:rsidR="0062271A">
        <w:t>inherent in</w:t>
      </w:r>
      <w:r w:rsidR="008E3A8F">
        <w:t xml:space="preserve"> traditional ethnographic research </w:t>
      </w:r>
      <w:r w:rsidR="002F054E">
        <w:t xml:space="preserve">may </w:t>
      </w:r>
      <w:r w:rsidR="008E3A8F">
        <w:t xml:space="preserve">be destabilized. </w:t>
      </w:r>
      <w:r w:rsidR="006C2C7E">
        <w:t>As many of the contributors to this collection show, b</w:t>
      </w:r>
      <w:r w:rsidR="008E3A8F">
        <w:t xml:space="preserve">y inviting research participants to take an </w:t>
      </w:r>
      <w:r w:rsidR="008E3A8F" w:rsidRPr="0018273A">
        <w:rPr>
          <w:rFonts w:cstheme="minorHAnsi"/>
        </w:rPr>
        <w:t xml:space="preserve">active role in the development of research questions, activities and outcomes, participatory research has enabled anthropology to expand its practice, both conceptually and ethically. </w:t>
      </w:r>
      <w:r w:rsidR="00E82B73" w:rsidRPr="0018273A">
        <w:rPr>
          <w:rFonts w:cstheme="minorHAnsi"/>
        </w:rPr>
        <w:t xml:space="preserve">In addition to these disciplinary </w:t>
      </w:r>
      <w:r w:rsidR="0062271A" w:rsidRPr="0018273A">
        <w:rPr>
          <w:rFonts w:cstheme="minorHAnsi"/>
        </w:rPr>
        <w:t>achievements</w:t>
      </w:r>
      <w:r w:rsidR="00E82B73" w:rsidRPr="0018273A">
        <w:rPr>
          <w:rFonts w:cstheme="minorHAnsi"/>
        </w:rPr>
        <w:t>, partici</w:t>
      </w:r>
      <w:r w:rsidR="00DA4108" w:rsidRPr="0018273A">
        <w:rPr>
          <w:rFonts w:cstheme="minorHAnsi"/>
        </w:rPr>
        <w:t>patory research also aims to enable marginalized people to transform the conditions of their lives and communit</w:t>
      </w:r>
      <w:r w:rsidR="00ED38A7" w:rsidRPr="0018273A">
        <w:rPr>
          <w:rFonts w:cstheme="minorHAnsi"/>
        </w:rPr>
        <w:t>ies</w:t>
      </w:r>
      <w:r w:rsidR="002F054E" w:rsidRPr="0018273A">
        <w:rPr>
          <w:rFonts w:cstheme="minorHAnsi"/>
        </w:rPr>
        <w:t xml:space="preserve"> by giving them research skills</w:t>
      </w:r>
      <w:r w:rsidR="00DA4108" w:rsidRPr="0018273A">
        <w:rPr>
          <w:rFonts w:cstheme="minorHAnsi"/>
        </w:rPr>
        <w:t xml:space="preserve"> that they can </w:t>
      </w:r>
      <w:r w:rsidR="0062271A" w:rsidRPr="0018273A">
        <w:rPr>
          <w:rFonts w:cstheme="minorHAnsi"/>
        </w:rPr>
        <w:t>use</w:t>
      </w:r>
      <w:r w:rsidR="00DA4108" w:rsidRPr="0018273A">
        <w:rPr>
          <w:rFonts w:cstheme="minorHAnsi"/>
        </w:rPr>
        <w:t xml:space="preserve"> </w:t>
      </w:r>
      <w:r w:rsidR="0062271A" w:rsidRPr="0018273A">
        <w:rPr>
          <w:rFonts w:cstheme="minorHAnsi"/>
        </w:rPr>
        <w:t xml:space="preserve">to work </w:t>
      </w:r>
      <w:r w:rsidR="00DA4108" w:rsidRPr="0018273A">
        <w:rPr>
          <w:rFonts w:cstheme="minorHAnsi"/>
        </w:rPr>
        <w:t xml:space="preserve">towards their own goals (Park 1993; </w:t>
      </w:r>
      <w:proofErr w:type="spellStart"/>
      <w:r w:rsidR="00DA4108" w:rsidRPr="0018273A">
        <w:rPr>
          <w:rFonts w:cstheme="minorHAnsi"/>
        </w:rPr>
        <w:t>Hurtig</w:t>
      </w:r>
      <w:proofErr w:type="spellEnd"/>
      <w:r w:rsidR="00DA4108" w:rsidRPr="0018273A">
        <w:rPr>
          <w:rFonts w:cstheme="minorHAnsi"/>
        </w:rPr>
        <w:t xml:space="preserve"> 2008). </w:t>
      </w:r>
      <w:r w:rsidR="006C2C7E">
        <w:rPr>
          <w:rFonts w:cstheme="minorHAnsi"/>
        </w:rPr>
        <w:t xml:space="preserve">As </w:t>
      </w:r>
      <w:r w:rsidR="001042CA">
        <w:rPr>
          <w:rFonts w:cstheme="minorHAnsi"/>
        </w:rPr>
        <w:t>Rees and Little</w:t>
      </w:r>
      <w:r w:rsidR="004579A1">
        <w:rPr>
          <w:rFonts w:cstheme="minorHAnsi"/>
        </w:rPr>
        <w:t xml:space="preserve"> </w:t>
      </w:r>
      <w:r w:rsidR="00677E55">
        <w:rPr>
          <w:rFonts w:cstheme="minorHAnsi"/>
        </w:rPr>
        <w:t>suggest</w:t>
      </w:r>
      <w:r w:rsidR="006C2C7E">
        <w:rPr>
          <w:rFonts w:cstheme="minorHAnsi"/>
        </w:rPr>
        <w:t xml:space="preserve"> in the introduction, participatory research is not</w:t>
      </w:r>
      <w:r w:rsidR="00677E55">
        <w:rPr>
          <w:rFonts w:cstheme="minorHAnsi"/>
        </w:rPr>
        <w:t xml:space="preserve"> only</w:t>
      </w:r>
      <w:r w:rsidR="006C2C7E">
        <w:rPr>
          <w:rFonts w:cstheme="minorHAnsi"/>
        </w:rPr>
        <w:t xml:space="preserve"> a methodolog</w:t>
      </w:r>
      <w:r w:rsidR="00677E55">
        <w:rPr>
          <w:rFonts w:cstheme="minorHAnsi"/>
        </w:rPr>
        <w:t xml:space="preserve">y, it is </w:t>
      </w:r>
      <w:r w:rsidR="006C2C7E">
        <w:rPr>
          <w:rFonts w:cstheme="minorHAnsi"/>
        </w:rPr>
        <w:t>also a</w:t>
      </w:r>
      <w:r w:rsidR="00677E55">
        <w:rPr>
          <w:rFonts w:cstheme="minorHAnsi"/>
        </w:rPr>
        <w:t xml:space="preserve"> political stance that seeks to place community members on equal footing with the researcher and </w:t>
      </w:r>
      <w:r w:rsidR="005D3B22">
        <w:rPr>
          <w:rFonts w:cstheme="minorHAnsi"/>
        </w:rPr>
        <w:t>their</w:t>
      </w:r>
      <w:r w:rsidR="004579A1">
        <w:rPr>
          <w:rFonts w:cstheme="minorHAnsi"/>
        </w:rPr>
        <w:t xml:space="preserve"> institution’s</w:t>
      </w:r>
      <w:r w:rsidR="00677E55">
        <w:rPr>
          <w:rFonts w:cstheme="minorHAnsi"/>
        </w:rPr>
        <w:t xml:space="preserve"> interests and agendas</w:t>
      </w:r>
      <w:r w:rsidR="003C0D3A">
        <w:rPr>
          <w:rFonts w:cstheme="minorHAnsi"/>
        </w:rPr>
        <w:t xml:space="preserve"> (2020, this volume)</w:t>
      </w:r>
      <w:r w:rsidR="00677E55">
        <w:rPr>
          <w:rFonts w:cstheme="minorHAnsi"/>
        </w:rPr>
        <w:t>.</w:t>
      </w:r>
    </w:p>
    <w:p w14:paraId="15DCA4EA" w14:textId="5EB131DF" w:rsidR="007F6CC8" w:rsidRDefault="007F6CC8" w:rsidP="007F6CC8">
      <w:pPr>
        <w:spacing w:line="480" w:lineRule="auto"/>
        <w:rPr>
          <w:rFonts w:cstheme="minorHAnsi"/>
        </w:rPr>
      </w:pPr>
    </w:p>
    <w:p w14:paraId="0DA1AAE3" w14:textId="46E3C8E6" w:rsidR="008413B9" w:rsidRDefault="00ED38A7" w:rsidP="007F6CC8">
      <w:pPr>
        <w:spacing w:line="480" w:lineRule="auto"/>
      </w:pPr>
      <w:r w:rsidRPr="0018273A">
        <w:rPr>
          <w:rFonts w:cstheme="minorHAnsi"/>
        </w:rPr>
        <w:t>On the ground,</w:t>
      </w:r>
      <w:r w:rsidR="00DA4108" w:rsidRPr="0018273A">
        <w:rPr>
          <w:rFonts w:cstheme="minorHAnsi"/>
        </w:rPr>
        <w:t xml:space="preserve"> </w:t>
      </w:r>
      <w:r w:rsidR="00677E55">
        <w:rPr>
          <w:rFonts w:cstheme="minorHAnsi"/>
        </w:rPr>
        <w:t>participatory research</w:t>
      </w:r>
      <w:r w:rsidR="00DA4108" w:rsidRPr="0018273A">
        <w:rPr>
          <w:rFonts w:cstheme="minorHAnsi"/>
        </w:rPr>
        <w:t xml:space="preserve"> spans a spectrum of</w:t>
      </w:r>
      <w:r w:rsidRPr="0018273A">
        <w:rPr>
          <w:rFonts w:cstheme="minorHAnsi"/>
        </w:rPr>
        <w:t xml:space="preserve"> practices</w:t>
      </w:r>
      <w:r w:rsidR="002F054E" w:rsidRPr="0018273A">
        <w:rPr>
          <w:rFonts w:cstheme="minorHAnsi"/>
        </w:rPr>
        <w:t xml:space="preserve">. </w:t>
      </w:r>
      <w:r w:rsidR="004A7C92">
        <w:rPr>
          <w:rFonts w:cstheme="minorHAnsi"/>
        </w:rPr>
        <w:t>These may be primarily community-focused, such as f</w:t>
      </w:r>
      <w:r w:rsidR="00DA4108" w:rsidRPr="0018273A">
        <w:rPr>
          <w:rFonts w:cstheme="minorHAnsi"/>
        </w:rPr>
        <w:t>ormal skill-building</w:t>
      </w:r>
      <w:r w:rsidR="00CF0DAC" w:rsidRPr="0018273A">
        <w:rPr>
          <w:rFonts w:cstheme="minorHAnsi"/>
        </w:rPr>
        <w:t xml:space="preserve"> at local levels</w:t>
      </w:r>
      <w:r w:rsidR="00D301A6">
        <w:rPr>
          <w:rFonts w:cstheme="minorHAnsi"/>
        </w:rPr>
        <w:t xml:space="preserve"> through </w:t>
      </w:r>
      <w:r w:rsidR="00DA4108" w:rsidRPr="0018273A">
        <w:rPr>
          <w:rFonts w:cstheme="minorHAnsi"/>
        </w:rPr>
        <w:t>workshops</w:t>
      </w:r>
      <w:r w:rsidR="002154F3" w:rsidRPr="0018273A">
        <w:rPr>
          <w:rFonts w:cstheme="minorHAnsi"/>
        </w:rPr>
        <w:t xml:space="preserve"> </w:t>
      </w:r>
      <w:r w:rsidR="0062271A" w:rsidRPr="0018273A">
        <w:rPr>
          <w:rFonts w:cstheme="minorHAnsi"/>
        </w:rPr>
        <w:t>and training sessions</w:t>
      </w:r>
      <w:r w:rsidR="00CF0DAC" w:rsidRPr="0018273A">
        <w:rPr>
          <w:rFonts w:cstheme="minorHAnsi"/>
        </w:rPr>
        <w:t xml:space="preserve"> (</w:t>
      </w:r>
      <w:proofErr w:type="spellStart"/>
      <w:r w:rsidR="00CF0DAC" w:rsidRPr="0018273A">
        <w:rPr>
          <w:rFonts w:cstheme="minorHAnsi"/>
        </w:rPr>
        <w:t>Batallan</w:t>
      </w:r>
      <w:proofErr w:type="spellEnd"/>
      <w:r w:rsidR="00CF0DAC" w:rsidRPr="0018273A">
        <w:rPr>
          <w:rFonts w:cstheme="minorHAnsi"/>
        </w:rPr>
        <w:t xml:space="preserve">, Dente and </w:t>
      </w:r>
      <w:proofErr w:type="spellStart"/>
      <w:r w:rsidR="00CF0DAC" w:rsidRPr="0018273A">
        <w:rPr>
          <w:rFonts w:cstheme="minorHAnsi"/>
        </w:rPr>
        <w:t>Ritta</w:t>
      </w:r>
      <w:proofErr w:type="spellEnd"/>
      <w:r w:rsidR="00CF0DAC" w:rsidRPr="0018273A">
        <w:rPr>
          <w:rFonts w:cstheme="minorHAnsi"/>
        </w:rPr>
        <w:t xml:space="preserve"> 2017</w:t>
      </w:r>
      <w:r w:rsidR="00DD33E4" w:rsidRPr="0018273A">
        <w:rPr>
          <w:rFonts w:eastAsia="Segoe UI Emoji" w:cstheme="minorHAnsi"/>
        </w:rPr>
        <w:t>).</w:t>
      </w:r>
      <w:r w:rsidR="00997E34">
        <w:rPr>
          <w:rFonts w:eastAsia="Segoe UI Emoji" w:cstheme="minorHAnsi"/>
        </w:rPr>
        <w:t xml:space="preserve"> R</w:t>
      </w:r>
      <w:r w:rsidR="00DD33E4" w:rsidRPr="0018273A">
        <w:rPr>
          <w:rFonts w:eastAsia="Segoe UI Emoji" w:cstheme="minorHAnsi"/>
        </w:rPr>
        <w:t>esearchers</w:t>
      </w:r>
      <w:r w:rsidR="004A7C92">
        <w:rPr>
          <w:rFonts w:eastAsia="Segoe UI Emoji" w:cstheme="minorHAnsi"/>
        </w:rPr>
        <w:t xml:space="preserve"> may</w:t>
      </w:r>
      <w:r w:rsidR="00DD33E4" w:rsidRPr="0018273A">
        <w:rPr>
          <w:rFonts w:eastAsia="Segoe UI Emoji" w:cstheme="minorHAnsi"/>
        </w:rPr>
        <w:t xml:space="preserve"> </w:t>
      </w:r>
      <w:r w:rsidR="00997E34">
        <w:rPr>
          <w:rFonts w:eastAsia="Segoe UI Emoji" w:cstheme="minorHAnsi"/>
        </w:rPr>
        <w:t xml:space="preserve">also </w:t>
      </w:r>
      <w:r w:rsidR="00DD33E4" w:rsidRPr="0018273A">
        <w:rPr>
          <w:rFonts w:eastAsia="Segoe UI Emoji" w:cstheme="minorHAnsi"/>
        </w:rPr>
        <w:t xml:space="preserve">make themselves useful to the </w:t>
      </w:r>
      <w:r w:rsidR="004A7C92">
        <w:rPr>
          <w:rFonts w:eastAsia="Segoe UI Emoji" w:cstheme="minorHAnsi"/>
        </w:rPr>
        <w:t xml:space="preserve">people </w:t>
      </w:r>
      <w:r w:rsidR="004A7C92">
        <w:rPr>
          <w:rFonts w:eastAsia="Segoe UI Emoji" w:cstheme="minorHAnsi"/>
        </w:rPr>
        <w:lastRenderedPageBreak/>
        <w:t xml:space="preserve">with whom </w:t>
      </w:r>
      <w:r w:rsidR="00DD33E4" w:rsidRPr="0018273A">
        <w:rPr>
          <w:rFonts w:eastAsia="Segoe UI Emoji" w:cstheme="minorHAnsi"/>
        </w:rPr>
        <w:t>they work, by contributing their time and expertise to community-led</w:t>
      </w:r>
      <w:r w:rsidR="00997E34">
        <w:rPr>
          <w:rFonts w:eastAsia="Segoe UI Emoji" w:cstheme="minorHAnsi"/>
        </w:rPr>
        <w:t xml:space="preserve"> projects</w:t>
      </w:r>
      <w:r w:rsidR="0075203E">
        <w:rPr>
          <w:rFonts w:eastAsia="Segoe UI Emoji" w:cstheme="minorHAnsi"/>
        </w:rPr>
        <w:t xml:space="preserve"> during the research period</w:t>
      </w:r>
      <w:r w:rsidR="00997E34">
        <w:rPr>
          <w:rFonts w:eastAsia="Segoe UI Emoji" w:cstheme="minorHAnsi"/>
        </w:rPr>
        <w:t xml:space="preserve"> (</w:t>
      </w:r>
      <w:r w:rsidR="00D522F5">
        <w:rPr>
          <w:rFonts w:eastAsia="Segoe UI Emoji" w:cstheme="minorHAnsi"/>
        </w:rPr>
        <w:t>Taylor</w:t>
      </w:r>
      <w:r w:rsidR="0031099C">
        <w:rPr>
          <w:rFonts w:eastAsia="Segoe UI Emoji" w:cstheme="minorHAnsi"/>
        </w:rPr>
        <w:t xml:space="preserve"> 2020</w:t>
      </w:r>
      <w:r w:rsidR="00DD33E4" w:rsidRPr="0018273A">
        <w:rPr>
          <w:rFonts w:eastAsia="Segoe UI Emoji" w:cstheme="minorHAnsi"/>
        </w:rPr>
        <w:t>, this volume; see Simmons 2010)</w:t>
      </w:r>
      <w:r w:rsidR="00D301A6">
        <w:rPr>
          <w:rFonts w:eastAsia="Segoe UI Emoji" w:cstheme="minorHAnsi"/>
        </w:rPr>
        <w:t xml:space="preserve">. </w:t>
      </w:r>
      <w:r w:rsidR="004A7C92">
        <w:rPr>
          <w:rFonts w:eastAsia="Segoe UI Emoji" w:cstheme="minorHAnsi"/>
        </w:rPr>
        <w:t xml:space="preserve">Other </w:t>
      </w:r>
      <w:r w:rsidR="00A2327B">
        <w:rPr>
          <w:rFonts w:eastAsia="Segoe UI Emoji" w:cstheme="minorHAnsi"/>
        </w:rPr>
        <w:t>practice</w:t>
      </w:r>
      <w:r w:rsidR="004A7C92">
        <w:rPr>
          <w:rFonts w:eastAsia="Segoe UI Emoji" w:cstheme="minorHAnsi"/>
        </w:rPr>
        <w:t xml:space="preserve">s are more concerned with bringing participants into the research process itself. This may include </w:t>
      </w:r>
      <w:r w:rsidR="002154F3" w:rsidRPr="0018273A">
        <w:rPr>
          <w:rFonts w:cstheme="minorHAnsi"/>
        </w:rPr>
        <w:t xml:space="preserve">involving participants in the development of research questions </w:t>
      </w:r>
      <w:r w:rsidR="00AF64E1">
        <w:rPr>
          <w:rFonts w:cstheme="minorHAnsi"/>
        </w:rPr>
        <w:t>and</w:t>
      </w:r>
      <w:r w:rsidR="002154F3" w:rsidRPr="0018273A">
        <w:rPr>
          <w:rFonts w:cstheme="minorHAnsi"/>
        </w:rPr>
        <w:t xml:space="preserve"> data </w:t>
      </w:r>
      <w:r w:rsidR="004A7C92">
        <w:rPr>
          <w:rFonts w:cstheme="minorHAnsi"/>
        </w:rPr>
        <w:t>collecting</w:t>
      </w:r>
      <w:r w:rsidR="002154F3" w:rsidRPr="0018273A">
        <w:rPr>
          <w:rFonts w:cstheme="minorHAnsi"/>
        </w:rPr>
        <w:t xml:space="preserve"> activities, including</w:t>
      </w:r>
      <w:r w:rsidR="00997E34">
        <w:rPr>
          <w:rFonts w:cstheme="minorHAnsi"/>
        </w:rPr>
        <w:t xml:space="preserve"> interviews and</w:t>
      </w:r>
      <w:r w:rsidR="002154F3" w:rsidRPr="0018273A">
        <w:rPr>
          <w:rFonts w:cstheme="minorHAnsi"/>
        </w:rPr>
        <w:t xml:space="preserve"> filmmaking</w:t>
      </w:r>
      <w:r w:rsidR="00997E34">
        <w:rPr>
          <w:rFonts w:cstheme="minorHAnsi"/>
        </w:rPr>
        <w:t>, and c</w:t>
      </w:r>
      <w:r w:rsidR="00997E34" w:rsidRPr="0018273A">
        <w:rPr>
          <w:rFonts w:cstheme="minorHAnsi"/>
        </w:rPr>
        <w:t xml:space="preserve">ollaborating with </w:t>
      </w:r>
      <w:r w:rsidR="00997E34">
        <w:rPr>
          <w:rFonts w:cstheme="minorHAnsi"/>
        </w:rPr>
        <w:t>them during the</w:t>
      </w:r>
      <w:r w:rsidR="00997E34" w:rsidRPr="0018273A">
        <w:rPr>
          <w:rFonts w:cstheme="minorHAnsi"/>
        </w:rPr>
        <w:t xml:space="preserve"> writing and publication process</w:t>
      </w:r>
      <w:r w:rsidR="00997E34">
        <w:rPr>
          <w:rFonts w:cstheme="minorHAnsi"/>
        </w:rPr>
        <w:t xml:space="preserve"> (</w:t>
      </w:r>
      <w:r w:rsidR="00AF64E1">
        <w:rPr>
          <w:rFonts w:cstheme="minorHAnsi"/>
        </w:rPr>
        <w:t>Behrman 2011; Contreras and Griffith 2011</w:t>
      </w:r>
      <w:r w:rsidR="00997E34">
        <w:rPr>
          <w:rFonts w:cstheme="minorHAnsi"/>
        </w:rPr>
        <w:t xml:space="preserve">; </w:t>
      </w:r>
      <w:r w:rsidR="00997E34" w:rsidRPr="0018273A">
        <w:rPr>
          <w:rFonts w:cstheme="minorHAnsi"/>
        </w:rPr>
        <w:t>Field 1998</w:t>
      </w:r>
      <w:r w:rsidR="00997E34">
        <w:rPr>
          <w:rFonts w:cstheme="minorHAnsi"/>
        </w:rPr>
        <w:t xml:space="preserve">; </w:t>
      </w:r>
      <w:proofErr w:type="spellStart"/>
      <w:r w:rsidR="00997E34" w:rsidRPr="0018273A">
        <w:rPr>
          <w:rFonts w:cstheme="minorHAnsi"/>
        </w:rPr>
        <w:t>Hurtig</w:t>
      </w:r>
      <w:proofErr w:type="spellEnd"/>
      <w:r w:rsidR="00997E34" w:rsidRPr="0018273A">
        <w:rPr>
          <w:rFonts w:cstheme="minorHAnsi"/>
        </w:rPr>
        <w:t xml:space="preserve"> 2008</w:t>
      </w:r>
      <w:r w:rsidR="00000EB4">
        <w:rPr>
          <w:rFonts w:cstheme="minorHAnsi"/>
        </w:rPr>
        <w:t xml:space="preserve">; </w:t>
      </w:r>
      <w:proofErr w:type="spellStart"/>
      <w:r w:rsidR="00000EB4">
        <w:rPr>
          <w:rFonts w:cstheme="minorHAnsi"/>
        </w:rPr>
        <w:t>Lebrato</w:t>
      </w:r>
      <w:proofErr w:type="spellEnd"/>
      <w:r w:rsidR="00000EB4">
        <w:rPr>
          <w:rFonts w:cstheme="minorHAnsi"/>
        </w:rPr>
        <w:t xml:space="preserve"> 2020, this volume</w:t>
      </w:r>
      <w:r w:rsidR="00997E34">
        <w:rPr>
          <w:rFonts w:cstheme="minorHAnsi"/>
        </w:rPr>
        <w:t xml:space="preserve">). More recently, </w:t>
      </w:r>
      <w:r w:rsidR="0062271A" w:rsidRPr="0018273A">
        <w:rPr>
          <w:rFonts w:cstheme="minorHAnsi"/>
        </w:rPr>
        <w:t xml:space="preserve">the return of </w:t>
      </w:r>
      <w:r w:rsidR="00B02B78">
        <w:rPr>
          <w:rFonts w:cstheme="minorHAnsi"/>
        </w:rPr>
        <w:t>data tha</w:t>
      </w:r>
      <w:r w:rsidR="00997E34">
        <w:rPr>
          <w:rFonts w:cstheme="minorHAnsi"/>
        </w:rPr>
        <w:t>t</w:t>
      </w:r>
      <w:r w:rsidR="00A2327B">
        <w:rPr>
          <w:rFonts w:cstheme="minorHAnsi"/>
        </w:rPr>
        <w:t xml:space="preserve"> is</w:t>
      </w:r>
      <w:r w:rsidR="00997E34">
        <w:rPr>
          <w:rFonts w:cstheme="minorHAnsi"/>
        </w:rPr>
        <w:t xml:space="preserve"> collected during ethnographic research to the communities involved has also emerged as an ethical commitment within participatory </w:t>
      </w:r>
      <w:r w:rsidR="00A2327B">
        <w:rPr>
          <w:rFonts w:cstheme="minorHAnsi"/>
        </w:rPr>
        <w:t>research</w:t>
      </w:r>
      <w:r w:rsidR="0075203E">
        <w:rPr>
          <w:rFonts w:cstheme="minorHAnsi"/>
        </w:rPr>
        <w:t xml:space="preserve"> practice</w:t>
      </w:r>
      <w:r w:rsidR="00A2327B">
        <w:rPr>
          <w:rFonts w:cstheme="minorHAnsi"/>
        </w:rPr>
        <w:t xml:space="preserve"> </w:t>
      </w:r>
      <w:r w:rsidR="00997E34">
        <w:rPr>
          <w:rFonts w:cstheme="minorHAnsi"/>
        </w:rPr>
        <w:t>(</w:t>
      </w:r>
      <w:r w:rsidR="00FC1477">
        <w:rPr>
          <w:rFonts w:cstheme="minorHAnsi"/>
        </w:rPr>
        <w:t>Cooper 2009</w:t>
      </w:r>
      <w:r w:rsidR="00662D23">
        <w:rPr>
          <w:rFonts w:cstheme="minorHAnsi"/>
        </w:rPr>
        <w:t xml:space="preserve">; </w:t>
      </w:r>
      <w:r w:rsidR="00662D23">
        <w:rPr>
          <w:rFonts w:cstheme="minorHAnsi"/>
        </w:rPr>
        <w:t>Rees 2020, this volume</w:t>
      </w:r>
      <w:r w:rsidR="00997E34">
        <w:rPr>
          <w:rFonts w:cstheme="minorHAnsi"/>
        </w:rPr>
        <w:t>)</w:t>
      </w:r>
      <w:r w:rsidR="00A2327B">
        <w:rPr>
          <w:rFonts w:cstheme="minorHAnsi"/>
        </w:rPr>
        <w:t>.</w:t>
      </w:r>
      <w:r w:rsidR="003D72B9">
        <w:t xml:space="preserve"> </w:t>
      </w:r>
      <w:r w:rsidR="009508EC">
        <w:t>Although such reflective and reflexive approaches have been</w:t>
      </w:r>
      <w:r w:rsidR="003D72B9">
        <w:t xml:space="preserve"> successfully</w:t>
      </w:r>
      <w:r w:rsidR="009508EC">
        <w:t xml:space="preserve"> used in many </w:t>
      </w:r>
      <w:r w:rsidR="003D72B9">
        <w:t>fields of the social sciences</w:t>
      </w:r>
      <w:r w:rsidR="009508EC">
        <w:t xml:space="preserve">, the emergence of new data protection regimes in Europe (and elsewhere) </w:t>
      </w:r>
      <w:r w:rsidR="008413B9">
        <w:t xml:space="preserve">are making the central </w:t>
      </w:r>
      <w:r w:rsidR="00EF0CAF">
        <w:t xml:space="preserve">tenets and </w:t>
      </w:r>
      <w:r w:rsidR="008413B9">
        <w:t>activities of participatory research effectively impossible. I will describe the scope of these new regulatory regimes before</w:t>
      </w:r>
      <w:r w:rsidR="00B213D4">
        <w:t xml:space="preserve"> briefly</w:t>
      </w:r>
      <w:r w:rsidR="008413B9">
        <w:t xml:space="preserve"> turning to my own research in Mexico as an example. </w:t>
      </w:r>
    </w:p>
    <w:p w14:paraId="0E2570BB" w14:textId="77777777" w:rsidR="003E3864" w:rsidRDefault="003E3864" w:rsidP="003E3864">
      <w:pPr>
        <w:spacing w:line="480" w:lineRule="auto"/>
      </w:pPr>
    </w:p>
    <w:p w14:paraId="4D62627F" w14:textId="68936024" w:rsidR="008413B9" w:rsidRDefault="009F18C6" w:rsidP="003E3864">
      <w:pPr>
        <w:spacing w:line="480" w:lineRule="auto"/>
      </w:pPr>
      <w:r>
        <w:t>On the 25</w:t>
      </w:r>
      <w:r w:rsidRPr="009F18C6">
        <w:rPr>
          <w:vertAlign w:val="superscript"/>
        </w:rPr>
        <w:t>th</w:t>
      </w:r>
      <w:r>
        <w:t xml:space="preserve"> of </w:t>
      </w:r>
      <w:r w:rsidR="00F835D1">
        <w:t>May</w:t>
      </w:r>
      <w:r>
        <w:t xml:space="preserve"> 2018, the General Data Protection Regulation (GDPR) came into force in </w:t>
      </w:r>
      <w:r w:rsidR="00083E0A">
        <w:t>Europe (including – for now, at least – the United Kingdo</w:t>
      </w:r>
      <w:r w:rsidR="00C56A6E">
        <w:t>m</w:t>
      </w:r>
      <w:r w:rsidR="00083E0A">
        <w:t>)</w:t>
      </w:r>
      <w:r>
        <w:t xml:space="preserve">. </w:t>
      </w:r>
      <w:r w:rsidR="00F835D1">
        <w:t>Its primary</w:t>
      </w:r>
      <w:r>
        <w:t xml:space="preserve"> objective, from the point of view of European regulators, </w:t>
      </w:r>
      <w:r w:rsidR="00F835D1">
        <w:t>is to allow people to have more control over their personal data. The spirit of this regulation is motivated by</w:t>
      </w:r>
      <w:r w:rsidR="00300E92">
        <w:t xml:space="preserve"> laudable intentions to increase transparency in </w:t>
      </w:r>
      <w:r w:rsidR="00E6659A">
        <w:t xml:space="preserve">how </w:t>
      </w:r>
      <w:r w:rsidR="00300E92">
        <w:t xml:space="preserve">corporations store and use the personal data of their customers, and to increase </w:t>
      </w:r>
      <w:r w:rsidR="00E6659A">
        <w:t>people’s rights over their own data</w:t>
      </w:r>
      <w:r w:rsidR="00C5325F">
        <w:t>. I</w:t>
      </w:r>
      <w:r w:rsidR="00E6659A">
        <w:t>n particular, the</w:t>
      </w:r>
      <w:r w:rsidR="00C56A6E">
        <w:t xml:space="preserve"> regulation seeks to ensure individuals’</w:t>
      </w:r>
      <w:r w:rsidR="000F4A7C">
        <w:t xml:space="preserve"> “right to be forgotten”</w:t>
      </w:r>
      <w:r w:rsidR="00E6659A">
        <w:t xml:space="preserve"> (European Commission n.d.). </w:t>
      </w:r>
      <w:r w:rsidR="00C5325F">
        <w:t>Although these regulations are specific</w:t>
      </w:r>
      <w:r w:rsidR="00E363C4">
        <w:t xml:space="preserve"> to</w:t>
      </w:r>
      <w:r w:rsidR="002B4055">
        <w:t xml:space="preserve"> </w:t>
      </w:r>
      <w:r w:rsidR="002B1E1E">
        <w:rPr>
          <w:lang w:val="en-US"/>
        </w:rPr>
        <w:t xml:space="preserve">European Economic Area </w:t>
      </w:r>
      <w:r w:rsidR="002B4055">
        <w:t>member countries</w:t>
      </w:r>
      <w:r w:rsidR="00C5325F">
        <w:t>,</w:t>
      </w:r>
      <w:r w:rsidR="002B4055">
        <w:t xml:space="preserve"> many </w:t>
      </w:r>
      <w:r w:rsidR="005D055D">
        <w:t>nation</w:t>
      </w:r>
      <w:r w:rsidR="002B4055">
        <w:t>s around the world are passing</w:t>
      </w:r>
      <w:r w:rsidR="00E363C4">
        <w:t xml:space="preserve"> more comprehensive</w:t>
      </w:r>
      <w:r w:rsidR="002B4055">
        <w:t xml:space="preserve"> data protection laws, such as Canada’s </w:t>
      </w:r>
      <w:r w:rsidR="002B4055" w:rsidRPr="002B4055">
        <w:t>Personal Information Protection and Electronic Documents Act</w:t>
      </w:r>
      <w:r w:rsidR="002B4055">
        <w:t xml:space="preserve"> (PIPEDA</w:t>
      </w:r>
      <w:r w:rsidR="00E363C4">
        <w:t>) and the</w:t>
      </w:r>
      <w:r w:rsidR="002B4055">
        <w:t xml:space="preserve"> Swiss Data Protection Act</w:t>
      </w:r>
      <w:r w:rsidR="00B32E35">
        <w:t xml:space="preserve"> (</w:t>
      </w:r>
      <w:proofErr w:type="spellStart"/>
      <w:r w:rsidR="00B32E35" w:rsidRPr="00B32E35">
        <w:t>Bundesgesetz</w:t>
      </w:r>
      <w:proofErr w:type="spellEnd"/>
      <w:r w:rsidR="00B32E35" w:rsidRPr="00B32E35">
        <w:t xml:space="preserve"> </w:t>
      </w:r>
      <w:proofErr w:type="spellStart"/>
      <w:r w:rsidR="00B32E35" w:rsidRPr="00B32E35">
        <w:t>über</w:t>
      </w:r>
      <w:proofErr w:type="spellEnd"/>
      <w:r w:rsidR="00B32E35" w:rsidRPr="00B32E35">
        <w:t xml:space="preserve"> den </w:t>
      </w:r>
      <w:proofErr w:type="spellStart"/>
      <w:r w:rsidR="00B32E35" w:rsidRPr="00B32E35">
        <w:t>Datenschutz</w:t>
      </w:r>
      <w:proofErr w:type="spellEnd"/>
      <w:r w:rsidR="00B32E35">
        <w:t xml:space="preserve">; </w:t>
      </w:r>
      <w:r w:rsidR="00B32E35" w:rsidRPr="00B32E35">
        <w:t>DSG</w:t>
      </w:r>
      <w:r w:rsidR="00B32E35">
        <w:t>)</w:t>
      </w:r>
      <w:r w:rsidR="00E363C4">
        <w:t xml:space="preserve">. </w:t>
      </w:r>
      <w:r w:rsidR="007F6CC8">
        <w:t>Currently, there is no</w:t>
      </w:r>
      <w:r w:rsidR="00E363C4">
        <w:t xml:space="preserve"> comprehensive federal law in the United States regulating the use of personal data, although each congressional term brings new </w:t>
      </w:r>
      <w:r w:rsidR="00E363C4">
        <w:lastRenderedPageBreak/>
        <w:t xml:space="preserve">proposals to </w:t>
      </w:r>
      <w:r w:rsidR="005D055D">
        <w:t>standardize</w:t>
      </w:r>
      <w:r w:rsidR="00E363C4">
        <w:t xml:space="preserve"> the patchwork of federal, state and industrial regulations and guidelines (Jolly 2018).</w:t>
      </w:r>
    </w:p>
    <w:p w14:paraId="526986BF" w14:textId="77777777" w:rsidR="003E3864" w:rsidRDefault="003E3864" w:rsidP="003E3864">
      <w:pPr>
        <w:spacing w:line="480" w:lineRule="auto"/>
      </w:pPr>
    </w:p>
    <w:p w14:paraId="35632CEC" w14:textId="0C47268D" w:rsidR="00B213D4" w:rsidRDefault="005D055D" w:rsidP="003E3864">
      <w:pPr>
        <w:spacing w:line="480" w:lineRule="auto"/>
      </w:pPr>
      <w:r>
        <w:t>Although the individuals whose personal dat</w:t>
      </w:r>
      <w:r w:rsidR="003D72B9">
        <w:t>a</w:t>
      </w:r>
      <w:r>
        <w:t xml:space="preserve"> is protected by such laws are primarily </w:t>
      </w:r>
      <w:r w:rsidR="00B32E35">
        <w:t>addresse</w:t>
      </w:r>
      <w:r w:rsidR="001F1D90">
        <w:t xml:space="preserve">d as consumers and citizens interacting with </w:t>
      </w:r>
      <w:r w:rsidR="00B32E35">
        <w:t xml:space="preserve">corporations and </w:t>
      </w:r>
      <w:r w:rsidR="001F1D90">
        <w:t xml:space="preserve">government agencies, the </w:t>
      </w:r>
      <w:r w:rsidR="00B32E35">
        <w:t xml:space="preserve">regulations have significant implications for researchers. </w:t>
      </w:r>
      <w:r w:rsidR="006A1CEA">
        <w:t>This is</w:t>
      </w:r>
      <w:r w:rsidR="00B213D4">
        <w:t xml:space="preserve"> </w:t>
      </w:r>
      <w:r w:rsidR="00B213D4">
        <w:rPr>
          <w:i/>
        </w:rPr>
        <w:t xml:space="preserve">not </w:t>
      </w:r>
      <w:r w:rsidR="00B213D4">
        <w:t xml:space="preserve">an </w:t>
      </w:r>
      <w:r w:rsidR="008413B9">
        <w:t>unintended consequence</w:t>
      </w:r>
      <w:r w:rsidR="00B213D4">
        <w:t xml:space="preserve">: the </w:t>
      </w:r>
      <w:r w:rsidR="00EF0CAF">
        <w:t>increasing complicity between</w:t>
      </w:r>
      <w:r w:rsidR="008D17B2">
        <w:t xml:space="preserve"> social, medical and technological</w:t>
      </w:r>
      <w:r w:rsidR="00EF0CAF">
        <w:t xml:space="preserve"> research</w:t>
      </w:r>
      <w:r w:rsidR="00516995">
        <w:t>;</w:t>
      </w:r>
      <w:r w:rsidR="00EF0CAF">
        <w:t xml:space="preserve"> product development</w:t>
      </w:r>
      <w:r w:rsidR="00516995">
        <w:t>;</w:t>
      </w:r>
      <w:r w:rsidR="00EF0CAF">
        <w:t xml:space="preserve"> social media</w:t>
      </w:r>
      <w:r w:rsidR="00516995">
        <w:t>;</w:t>
      </w:r>
      <w:r w:rsidR="006A1CEA">
        <w:t xml:space="preserve"> </w:t>
      </w:r>
      <w:r w:rsidR="008F538D">
        <w:t xml:space="preserve">and </w:t>
      </w:r>
      <w:r w:rsidR="006565C0">
        <w:t>online marketing</w:t>
      </w:r>
      <w:r w:rsidR="006A1CEA">
        <w:t xml:space="preserve"> (</w:t>
      </w:r>
      <w:r w:rsidR="006565C0">
        <w:t>as became evident in the Cambridge Analytica scandal, for example</w:t>
      </w:r>
      <w:r w:rsidR="006A1CEA">
        <w:t>)</w:t>
      </w:r>
      <w:r w:rsidR="006565C0">
        <w:t xml:space="preserve"> is what led directly to the development of this legislation.</w:t>
      </w:r>
      <w:r w:rsidR="00707394">
        <w:rPr>
          <w:rStyle w:val="FootnoteReference"/>
        </w:rPr>
        <w:footnoteReference w:id="1"/>
      </w:r>
      <w:r w:rsidR="006A1CEA">
        <w:t xml:space="preserve"> Although </w:t>
      </w:r>
      <w:r w:rsidR="008F6335">
        <w:t xml:space="preserve">networks and </w:t>
      </w:r>
      <w:r w:rsidR="006A1CEA">
        <w:t xml:space="preserve">professional organisations have protested the impact of these changes on anthropologists’ ability to do research, calls for amendments to the act </w:t>
      </w:r>
      <w:r w:rsidR="00856799">
        <w:t xml:space="preserve">– which </w:t>
      </w:r>
      <w:r w:rsidR="006A1CEA">
        <w:t>would exempt the social sciences and humanities from some of thes</w:t>
      </w:r>
      <w:r w:rsidR="008F6335">
        <w:t>e requirements</w:t>
      </w:r>
      <w:r w:rsidR="006A1CEA">
        <w:t xml:space="preserve"> </w:t>
      </w:r>
      <w:r w:rsidR="00856799">
        <w:t xml:space="preserve">– have </w:t>
      </w:r>
      <w:r w:rsidR="006A1CEA">
        <w:t xml:space="preserve">not been addressed (ASA et al 2018; </w:t>
      </w:r>
      <w:proofErr w:type="spellStart"/>
      <w:r w:rsidR="006A1CEA">
        <w:t>Pels</w:t>
      </w:r>
      <w:proofErr w:type="spellEnd"/>
      <w:r w:rsidR="006A1CEA">
        <w:t xml:space="preserve"> et al 2018)</w:t>
      </w:r>
      <w:r w:rsidR="008F6335">
        <w:t>.</w:t>
      </w:r>
    </w:p>
    <w:p w14:paraId="38BF23EA" w14:textId="77777777" w:rsidR="003E3864" w:rsidRDefault="003E3864" w:rsidP="003E3864">
      <w:pPr>
        <w:spacing w:line="480" w:lineRule="auto"/>
      </w:pPr>
    </w:p>
    <w:p w14:paraId="14EBB2B3" w14:textId="5B00F6BE" w:rsidR="00615F92" w:rsidRDefault="008413B9" w:rsidP="003E3864">
      <w:pPr>
        <w:spacing w:line="480" w:lineRule="auto"/>
      </w:pPr>
      <w:r>
        <w:t xml:space="preserve"> </w:t>
      </w:r>
      <w:r w:rsidR="006A1CEA">
        <w:t>All organizations based in the EU that collect and process personal data must abide by the GDPR, regardless of where that data is collected</w:t>
      </w:r>
      <w:r w:rsidR="006963B3">
        <w:t xml:space="preserve">. This means that </w:t>
      </w:r>
      <w:r w:rsidR="006A1CEA">
        <w:t xml:space="preserve">all researchers working at European institutions must </w:t>
      </w:r>
      <w:r w:rsidR="006963B3">
        <w:t xml:space="preserve">follow GDPR regulations, </w:t>
      </w:r>
      <w:r w:rsidR="006A1CEA">
        <w:t xml:space="preserve">as well as any </w:t>
      </w:r>
      <w:r w:rsidR="006963B3">
        <w:t xml:space="preserve">privacy legislation of </w:t>
      </w:r>
      <w:r w:rsidR="006A1CEA">
        <w:t>the countr</w:t>
      </w:r>
      <w:r w:rsidR="006963B3">
        <w:t>ies</w:t>
      </w:r>
      <w:r w:rsidR="006A1CEA">
        <w:t xml:space="preserve"> where they conduct research. </w:t>
      </w:r>
      <w:r w:rsidR="00B213D4">
        <w:t>My latest research project in Mexico was funded by the European Commission’s Horizon 2020 program</w:t>
      </w:r>
      <w:r w:rsidR="009F687A">
        <w:t>.</w:t>
      </w:r>
      <w:r w:rsidR="006963B3">
        <w:rPr>
          <w:rStyle w:val="FootnoteReference"/>
        </w:rPr>
        <w:footnoteReference w:id="2"/>
      </w:r>
      <w:r w:rsidR="009F687A">
        <w:t xml:space="preserve"> A</w:t>
      </w:r>
      <w:r w:rsidR="00B213D4">
        <w:t xml:space="preserve">lthough the GDPR had not yet come into effect when I conducted my fieldwork </w:t>
      </w:r>
      <w:r w:rsidR="009F687A">
        <w:t xml:space="preserve">in 2017, all of its data protection and privacy requirements were incorporated into the ethics and data management clauses of the contractual grant agreement between myself, my university and the European Commission. </w:t>
      </w:r>
    </w:p>
    <w:p w14:paraId="5F79A487" w14:textId="77777777" w:rsidR="00615F92" w:rsidRDefault="00615F92" w:rsidP="00615F92">
      <w:pPr>
        <w:spacing w:line="480" w:lineRule="auto"/>
      </w:pPr>
    </w:p>
    <w:p w14:paraId="03B15BDD" w14:textId="77AEE82D" w:rsidR="00D1766B" w:rsidRDefault="00615F92" w:rsidP="00D1766B">
      <w:pPr>
        <w:spacing w:line="480" w:lineRule="auto"/>
      </w:pPr>
      <w:r>
        <w:t xml:space="preserve">My research </w:t>
      </w:r>
      <w:r w:rsidR="00D1766B">
        <w:t>investigates</w:t>
      </w:r>
      <w:r>
        <w:t xml:space="preserve"> the intersections of local Catholicism and heritage conservation in a small community in </w:t>
      </w:r>
      <w:r w:rsidR="00E476EC">
        <w:t>Oaxaca, Mexico, where</w:t>
      </w:r>
      <w:r>
        <w:t xml:space="preserve"> a private cultural foundation is restoring a ruined 16</w:t>
      </w:r>
      <w:r w:rsidRPr="006963B3">
        <w:rPr>
          <w:vertAlign w:val="superscript"/>
        </w:rPr>
        <w:t>th</w:t>
      </w:r>
      <w:r>
        <w:t xml:space="preserve"> century monastery. The methods that I used were fairly standard for ethnographic research: participant observation in events and activities </w:t>
      </w:r>
      <w:r w:rsidR="00E476EC">
        <w:t>in the community and church, and</w:t>
      </w:r>
      <w:r>
        <w:t xml:space="preserve"> open-ended and structured interviews with various community members and heritage professionals</w:t>
      </w:r>
      <w:r w:rsidR="00E476EC">
        <w:t xml:space="preserve">, supplemented </w:t>
      </w:r>
      <w:r w:rsidR="00DE6C08">
        <w:t>with</w:t>
      </w:r>
      <w:r w:rsidR="00E476EC">
        <w:t xml:space="preserve"> library and archival research. None of these </w:t>
      </w:r>
      <w:r w:rsidR="00AB7EFC">
        <w:t>are readily</w:t>
      </w:r>
      <w:r w:rsidR="000F4A7C">
        <w:t xml:space="preserve"> described as “</w:t>
      </w:r>
      <w:r w:rsidR="00E476EC">
        <w:t>participatory</w:t>
      </w:r>
      <w:r w:rsidR="00DE6C08">
        <w:t>.</w:t>
      </w:r>
      <w:r w:rsidR="000F4A7C">
        <w:t>”</w:t>
      </w:r>
      <w:r w:rsidR="00E476EC">
        <w:t xml:space="preserve"> </w:t>
      </w:r>
      <w:r w:rsidR="00DE6C08">
        <w:t>Yet,</w:t>
      </w:r>
      <w:r w:rsidR="00E476EC">
        <w:t xml:space="preserve"> there are aspects of my work that could have been enhanced by some of the practices I described above. For example, </w:t>
      </w:r>
      <w:r w:rsidR="000A171C">
        <w:t>including members of the church committee in my interviews with older community member</w:t>
      </w:r>
      <w:r w:rsidR="00AB7EFC">
        <w:t>s could have been interesting and informative for them</w:t>
      </w:r>
      <w:r w:rsidR="000A171C">
        <w:t>,</w:t>
      </w:r>
      <w:r w:rsidR="00AB7EFC">
        <w:t xml:space="preserve"> and almost certainly would have opened up topics and themes that I could not have anticipated. </w:t>
      </w:r>
      <w:r w:rsidR="00D1766B">
        <w:t>However, I was aware that such activities would not be compatible with the restrictions imposed on my research by the ethics and data management processes described in my grant</w:t>
      </w:r>
      <w:r w:rsidR="000F4A7C">
        <w:t xml:space="preserve"> agreement. In addition to the “informed consent” </w:t>
      </w:r>
      <w:r w:rsidR="00D1766B">
        <w:t>procedures that we are increasingly accustomed to, I had to guarantee that:</w:t>
      </w:r>
    </w:p>
    <w:p w14:paraId="461DF1FF" w14:textId="77777777" w:rsidR="00D1766B" w:rsidRDefault="00D1766B" w:rsidP="00D1766B">
      <w:pPr>
        <w:pStyle w:val="ListParagraph"/>
        <w:numPr>
          <w:ilvl w:val="0"/>
          <w:numId w:val="1"/>
        </w:numPr>
        <w:spacing w:line="480" w:lineRule="auto"/>
      </w:pPr>
      <w:r>
        <w:t xml:space="preserve">I would not work with children under the age of 16; </w:t>
      </w:r>
    </w:p>
    <w:p w14:paraId="05D98CC5" w14:textId="77777777" w:rsidR="00D1766B" w:rsidRDefault="00D1766B" w:rsidP="00D1766B">
      <w:pPr>
        <w:pStyle w:val="ListParagraph"/>
        <w:numPr>
          <w:ilvl w:val="0"/>
          <w:numId w:val="1"/>
        </w:numPr>
        <w:spacing w:line="480" w:lineRule="auto"/>
      </w:pPr>
      <w:r>
        <w:t>I would not conduct research on any topic that was not covered by the original proposal;</w:t>
      </w:r>
    </w:p>
    <w:p w14:paraId="05FA1FD6" w14:textId="7993F9A1" w:rsidR="00D1766B" w:rsidRDefault="00D1766B" w:rsidP="00D1766B">
      <w:pPr>
        <w:pStyle w:val="ListParagraph"/>
        <w:numPr>
          <w:ilvl w:val="0"/>
          <w:numId w:val="1"/>
        </w:numPr>
        <w:spacing w:line="480" w:lineRule="auto"/>
      </w:pPr>
      <w:r>
        <w:t xml:space="preserve">I would protect my research participants’ personal data by using pseudonyms in publications </w:t>
      </w:r>
      <w:r w:rsidRPr="00EF0CAF">
        <w:t xml:space="preserve">and </w:t>
      </w:r>
      <w:r>
        <w:t>all raw research data (</w:t>
      </w:r>
      <w:r w:rsidR="000F4A7C">
        <w:t>i.e.</w:t>
      </w:r>
      <w:r>
        <w:t>, field notes),</w:t>
      </w:r>
      <w:r w:rsidRPr="00EF0CAF">
        <w:rPr>
          <w:i/>
        </w:rPr>
        <w:t xml:space="preserve"> and</w:t>
      </w:r>
      <w:r>
        <w:t xml:space="preserve"> that each set of pseudonyms would be different;</w:t>
      </w:r>
    </w:p>
    <w:p w14:paraId="67A4060B" w14:textId="553C0E75" w:rsidR="00D1766B" w:rsidRDefault="00D1766B" w:rsidP="00D1766B">
      <w:pPr>
        <w:pStyle w:val="ListParagraph"/>
        <w:numPr>
          <w:ilvl w:val="0"/>
          <w:numId w:val="1"/>
        </w:numPr>
        <w:spacing w:line="480" w:lineRule="auto"/>
      </w:pPr>
      <w:r>
        <w:t>only university personnel who are strictly necessary for implementing the grant would be able to access identifying or personal data (and I had to enumerate the ways that data wou</w:t>
      </w:r>
      <w:r w:rsidR="0005566A">
        <w:t xml:space="preserve">ld be physically and digitally “secured” </w:t>
      </w:r>
      <w:r>
        <w:t>in the field);</w:t>
      </w:r>
    </w:p>
    <w:p w14:paraId="1A88C1C5" w14:textId="77777777" w:rsidR="00D1766B" w:rsidRDefault="00D1766B" w:rsidP="00D1766B">
      <w:pPr>
        <w:pStyle w:val="ListParagraph"/>
        <w:numPr>
          <w:ilvl w:val="0"/>
          <w:numId w:val="1"/>
        </w:numPr>
        <w:spacing w:line="480" w:lineRule="auto"/>
      </w:pPr>
      <w:r>
        <w:t>I would abide by the regulations for at least two years after the end of the project or until all identifying data is destroyed, whichever is longer.</w:t>
      </w:r>
    </w:p>
    <w:p w14:paraId="0B7E5A04" w14:textId="77777777" w:rsidR="00D1766B" w:rsidRDefault="00D1766B" w:rsidP="00D1766B">
      <w:pPr>
        <w:pStyle w:val="ListParagraph"/>
        <w:spacing w:line="480" w:lineRule="auto"/>
      </w:pPr>
    </w:p>
    <w:p w14:paraId="182C0A4B" w14:textId="3F92AB29" w:rsidR="0093114C" w:rsidRDefault="00FA041B" w:rsidP="003E3864">
      <w:pPr>
        <w:spacing w:line="480" w:lineRule="auto"/>
      </w:pPr>
      <w:r>
        <w:lastRenderedPageBreak/>
        <w:t>S</w:t>
      </w:r>
      <w:r w:rsidR="00D1766B">
        <w:t xml:space="preserve">ome of these restrictions, such as not working at all with children under the age of 16 or not researching any topic not covered by the original proposal, are difficult with respect to all forms of ethnographic research. However, it is the data management aspects of my grant agreement – those that </w:t>
      </w:r>
      <w:r w:rsidR="00491C91">
        <w:t>replicat</w:t>
      </w:r>
      <w:r w:rsidR="00D1766B">
        <w:t>e GDPR legislation – that are particularly problematic for partic</w:t>
      </w:r>
      <w:r w:rsidR="0005566A">
        <w:t>ipatory practices. Under GDPR, “personal data”</w:t>
      </w:r>
      <w:r w:rsidR="00D1766B">
        <w:t xml:space="preserve"> is not just personalized data, such as a name, telephone number or credit card details. It includes </w:t>
      </w:r>
      <w:r w:rsidR="00D1766B" w:rsidRPr="00751578">
        <w:rPr>
          <w:i/>
        </w:rPr>
        <w:t>any information that can be linked to an identifiable person</w:t>
      </w:r>
      <w:r w:rsidR="00D1766B">
        <w:t xml:space="preserve">, </w:t>
      </w:r>
      <w:r>
        <w:t>including seemingly mundane information</w:t>
      </w:r>
      <w:r w:rsidR="00CC21A9">
        <w:t xml:space="preserve">, </w:t>
      </w:r>
      <w:r w:rsidR="00921638">
        <w:t xml:space="preserve">subjective </w:t>
      </w:r>
      <w:r w:rsidR="00D1766B">
        <w:t>opinions</w:t>
      </w:r>
      <w:r w:rsidR="00DE6C08">
        <w:t xml:space="preserve">, </w:t>
      </w:r>
      <w:r w:rsidR="0044340F">
        <w:t>judgements</w:t>
      </w:r>
      <w:r w:rsidR="00DE6C08">
        <w:t xml:space="preserve">, </w:t>
      </w:r>
      <w:r w:rsidR="00061AF8">
        <w:t>or beliefs. Higher levels of protection ar</w:t>
      </w:r>
      <w:r w:rsidR="0005566A">
        <w:t>e given to what are considered “sensitive personal data,”</w:t>
      </w:r>
      <w:r w:rsidR="00061AF8">
        <w:t xml:space="preserve"> including religious beliefs and ethnic identity – both features of my research </w:t>
      </w:r>
      <w:r w:rsidR="00921638">
        <w:t>(GDPR</w:t>
      </w:r>
      <w:r w:rsidR="00356EFC">
        <w:t>.EU</w:t>
      </w:r>
      <w:r w:rsidR="00921638">
        <w:t xml:space="preserve"> 2019</w:t>
      </w:r>
      <w:r>
        <w:t>a</w:t>
      </w:r>
      <w:r w:rsidR="00921638">
        <w:t>).</w:t>
      </w:r>
      <w:r w:rsidR="000F4A7C">
        <w:rPr>
          <w:rStyle w:val="FootnoteReference"/>
        </w:rPr>
        <w:footnoteReference w:id="3"/>
      </w:r>
      <w:r w:rsidR="00921638">
        <w:t xml:space="preserve"> </w:t>
      </w:r>
      <w:r w:rsidR="00C07A2B">
        <w:t xml:space="preserve">As such, all information gathered during </w:t>
      </w:r>
      <w:r w:rsidR="00061AF8">
        <w:t>my interviews</w:t>
      </w:r>
      <w:r w:rsidR="00C07A2B">
        <w:t xml:space="preserve"> is protected under GDPR</w:t>
      </w:r>
      <w:r w:rsidR="00061AF8">
        <w:t>. Because of this, I was prevented from including members of the church committee or the community more broadly in my interviews as part of my research process, s</w:t>
      </w:r>
      <w:r w:rsidR="00DE6C08">
        <w:t>ince</w:t>
      </w:r>
      <w:r w:rsidR="0044340F">
        <w:t xml:space="preserve"> </w:t>
      </w:r>
      <w:r w:rsidR="00DE6C08">
        <w:t>gathering data</w:t>
      </w:r>
      <w:r w:rsidR="0044340F">
        <w:t xml:space="preserve"> is considered </w:t>
      </w:r>
      <w:r w:rsidR="00491C91">
        <w:t>a type of</w:t>
      </w:r>
      <w:r w:rsidR="0005566A">
        <w:t xml:space="preserve"> “data processing,” </w:t>
      </w:r>
      <w:r w:rsidR="00061AF8">
        <w:t>and everyone present in an interview is able to identify the interviewee. Inde</w:t>
      </w:r>
      <w:r w:rsidR="0005566A">
        <w:t>ed, as the point above states, “</w:t>
      </w:r>
      <w:r w:rsidR="00061AF8">
        <w:t>only university personnel strictly necessary for</w:t>
      </w:r>
      <w:r w:rsidR="0005566A">
        <w:t xml:space="preserve"> implementing the grant” </w:t>
      </w:r>
      <w:r w:rsidR="00061AF8">
        <w:t xml:space="preserve">are allowed to access personal data. </w:t>
      </w:r>
      <w:r w:rsidR="001B60A2">
        <w:t>This also means that other participatory research practices, such as collaborating with participants in writing and publication</w:t>
      </w:r>
      <w:r w:rsidR="0093114C">
        <w:t xml:space="preserve">, and returning data to research communities, </w:t>
      </w:r>
      <w:r w:rsidR="00751578">
        <w:t>are</w:t>
      </w:r>
      <w:r w:rsidR="0093114C">
        <w:t xml:space="preserve"> also rendered </w:t>
      </w:r>
      <w:r w:rsidR="00EA6E71">
        <w:t>near-</w:t>
      </w:r>
      <w:r w:rsidR="0093114C">
        <w:t>impossible under GDPR, at least without prior anonymization that</w:t>
      </w:r>
      <w:r w:rsidR="003773A2">
        <w:t xml:space="preserve"> not only changes participants’ names, but also</w:t>
      </w:r>
      <w:r w:rsidR="0093114C">
        <w:t xml:space="preserve"> insures that no one can be identified within the data</w:t>
      </w:r>
      <w:r w:rsidR="00751578">
        <w:t xml:space="preserve"> at all</w:t>
      </w:r>
      <w:r w:rsidR="00491C91">
        <w:t xml:space="preserve"> (see </w:t>
      </w:r>
      <w:proofErr w:type="spellStart"/>
      <w:r w:rsidR="00951535">
        <w:t>Chibnik</w:t>
      </w:r>
      <w:proofErr w:type="spellEnd"/>
      <w:r w:rsidR="00951535">
        <w:t>, 2020, this volume:</w:t>
      </w:r>
      <w:r w:rsidR="00491C91">
        <w:t xml:space="preserve"> 94-95)</w:t>
      </w:r>
      <w:r w:rsidR="0093114C">
        <w:t>.</w:t>
      </w:r>
      <w:r w:rsidR="0093114C" w:rsidRPr="0093114C">
        <w:rPr>
          <w:rStyle w:val="FootnoteReference"/>
        </w:rPr>
        <w:t xml:space="preserve"> </w:t>
      </w:r>
      <w:r w:rsidR="0093114C">
        <w:rPr>
          <w:rStyle w:val="FootnoteReference"/>
        </w:rPr>
        <w:footnoteReference w:id="4"/>
      </w:r>
    </w:p>
    <w:p w14:paraId="7647FFAB" w14:textId="77777777" w:rsidR="0093114C" w:rsidRDefault="0093114C" w:rsidP="003E3864">
      <w:pPr>
        <w:spacing w:line="480" w:lineRule="auto"/>
      </w:pPr>
    </w:p>
    <w:p w14:paraId="47852C4C" w14:textId="75D48464" w:rsidR="008413B9" w:rsidRDefault="008413B9" w:rsidP="003E3864">
      <w:pPr>
        <w:spacing w:line="480" w:lineRule="auto"/>
      </w:pPr>
      <w:r>
        <w:t xml:space="preserve">What are the consequences of </w:t>
      </w:r>
      <w:r w:rsidR="00C00BBC">
        <w:t>such</w:t>
      </w:r>
      <w:r>
        <w:t xml:space="preserve"> regulatory regimes for participatory and ethnographic research more broadly? </w:t>
      </w:r>
      <w:r w:rsidR="0054172B">
        <w:t>A</w:t>
      </w:r>
      <w:r>
        <w:t xml:space="preserve">lthough </w:t>
      </w:r>
      <w:r w:rsidR="006C5824">
        <w:t>some</w:t>
      </w:r>
      <w:r>
        <w:t xml:space="preserve"> of my colleagues advise taking a </w:t>
      </w:r>
      <w:r w:rsidR="00751578">
        <w:t>pragmatic</w:t>
      </w:r>
      <w:r>
        <w:t xml:space="preserve"> perspective on the new laws</w:t>
      </w:r>
      <w:r w:rsidR="0054172B">
        <w:t xml:space="preserve"> </w:t>
      </w:r>
      <w:r w:rsidR="0054172B">
        <w:lastRenderedPageBreak/>
        <w:t xml:space="preserve">by giving lip-service on paper to the requirements while going about </w:t>
      </w:r>
      <w:r w:rsidR="00C838F2">
        <w:t>our</w:t>
      </w:r>
      <w:r w:rsidR="0054172B">
        <w:t xml:space="preserve"> business as usual in the field, others have worried wh</w:t>
      </w:r>
      <w:r w:rsidR="0005566A">
        <w:t>ether anthropology is now even legal</w:t>
      </w:r>
      <w:r w:rsidR="0054172B">
        <w:t xml:space="preserve"> under GDPR (</w:t>
      </w:r>
      <w:proofErr w:type="spellStart"/>
      <w:r w:rsidR="0054172B">
        <w:t>Humphris</w:t>
      </w:r>
      <w:proofErr w:type="spellEnd"/>
      <w:r w:rsidR="0054172B">
        <w:t xml:space="preserve"> 2018).</w:t>
      </w:r>
      <w:r w:rsidR="0093114C">
        <w:t xml:space="preserve"> Non-compliance with</w:t>
      </w:r>
      <w:r w:rsidR="004B20F7">
        <w:t xml:space="preserve"> the stipulations of my grant agreement would have violated my contract</w:t>
      </w:r>
      <w:r w:rsidR="00926DC9">
        <w:t xml:space="preserve"> with the European Commission</w:t>
      </w:r>
      <w:r w:rsidR="004B20F7">
        <w:t xml:space="preserve">, making me </w:t>
      </w:r>
      <w:r w:rsidR="0093114C">
        <w:t xml:space="preserve">eligible for my grant’s suspension or termination and could have made myself and my university financially liable for damages (European Commission 2019: 304-346). </w:t>
      </w:r>
      <w:r w:rsidR="00751578">
        <w:t>A</w:t>
      </w:r>
      <w:r w:rsidR="00CB5CE0">
        <w:t>s a</w:t>
      </w:r>
      <w:r w:rsidR="00751578">
        <w:t xml:space="preserve"> more uniform and stricter legal regime</w:t>
      </w:r>
      <w:r w:rsidR="00926DC9">
        <w:t xml:space="preserve">, </w:t>
      </w:r>
      <w:r w:rsidR="0093114C">
        <w:t>GDPR</w:t>
      </w:r>
      <w:r w:rsidR="00751578">
        <w:t xml:space="preserve"> incorporates significantly greater penalties for violations</w:t>
      </w:r>
      <w:r w:rsidR="00CB5CE0">
        <w:t>, including extremely large fines (GDPR</w:t>
      </w:r>
      <w:r w:rsidR="00356EFC">
        <w:t>.EU 2019</w:t>
      </w:r>
      <w:r w:rsidR="00CB5CE0">
        <w:t xml:space="preserve">b).  </w:t>
      </w:r>
      <w:r w:rsidR="00B213D4">
        <w:t>Universities are likely to be the true enforcers of the new laws, as they can be held legally</w:t>
      </w:r>
      <w:r w:rsidR="00926DC9">
        <w:t xml:space="preserve"> and financially</w:t>
      </w:r>
      <w:r w:rsidR="00B213D4">
        <w:t xml:space="preserve"> accountable for their employees’ activities</w:t>
      </w:r>
      <w:r w:rsidR="0054172B">
        <w:t>. A colleague recently told me of her institution’s GDPR online training course that she was required to complete at the beginning of</w:t>
      </w:r>
      <w:r w:rsidR="00723EBB">
        <w:t xml:space="preserve"> the last</w:t>
      </w:r>
      <w:r w:rsidR="0054172B">
        <w:t xml:space="preserve"> academic year. One recommendation of the training was: if in doubt, do less research. Not exactly a sentiment compatible with the exploratory, creative and ultimately emancipatory goals of participatory research.</w:t>
      </w:r>
    </w:p>
    <w:p w14:paraId="5B012837" w14:textId="77777777" w:rsidR="0062271A" w:rsidRDefault="0062271A" w:rsidP="003E3864">
      <w:pPr>
        <w:spacing w:line="480" w:lineRule="auto"/>
      </w:pPr>
    </w:p>
    <w:p w14:paraId="1C0798B6" w14:textId="61421E74" w:rsidR="002F3E53" w:rsidRDefault="0062271A" w:rsidP="003E3864">
      <w:pPr>
        <w:spacing w:line="480" w:lineRule="auto"/>
        <w:rPr>
          <w:u w:val="single"/>
        </w:rPr>
      </w:pPr>
      <w:r>
        <w:rPr>
          <w:u w:val="single"/>
        </w:rPr>
        <w:t>References Cited</w:t>
      </w:r>
    </w:p>
    <w:p w14:paraId="39BE6C51" w14:textId="77777777" w:rsidR="00B213D4" w:rsidRDefault="00B213D4" w:rsidP="008F538D">
      <w:pPr>
        <w:spacing w:line="240" w:lineRule="auto"/>
      </w:pPr>
      <w:r>
        <w:t xml:space="preserve">ASA et al. 2018. </w:t>
      </w:r>
      <w:r w:rsidRPr="00B213D4">
        <w:rPr>
          <w:i/>
        </w:rPr>
        <w:t>Anthropology, Sociology, Human Geography and the implementation of new data protection legislation in UK academic institutions</w:t>
      </w:r>
      <w:r>
        <w:rPr>
          <w:i/>
        </w:rPr>
        <w:t xml:space="preserve">. </w:t>
      </w:r>
      <w:r>
        <w:t xml:space="preserve">Joint statement by the Association of Social Anthropologists of the United Kingdom and Commonwealth (ASA), the British Sociological Association (BSA), the European Sociological Association (ESA) and the Royal Geographical Society-Institute of British Geographers (RGS-IBG). </w:t>
      </w:r>
      <w:hyperlink r:id="rId11" w:history="1">
        <w:r w:rsidRPr="0049262E">
          <w:rPr>
            <w:rStyle w:val="Hyperlink"/>
          </w:rPr>
          <w:t>https://www.theasa.org/downloads/Joint%20ASA%20BSA%20ESA%20RGS%20statement%200418.pdf</w:t>
        </w:r>
      </w:hyperlink>
      <w:r>
        <w:t xml:space="preserve"> </w:t>
      </w:r>
    </w:p>
    <w:p w14:paraId="594E2435" w14:textId="3109B0D8" w:rsidR="00C5325F" w:rsidRDefault="00FF1268" w:rsidP="008F538D">
      <w:pPr>
        <w:spacing w:line="240" w:lineRule="auto"/>
      </w:pPr>
      <w:r w:rsidRPr="002B1E1E">
        <w:rPr>
          <w:lang w:val="es-MX"/>
        </w:rPr>
        <w:t xml:space="preserve">Batallan, Graciela, Liliana Dente and </w:t>
      </w:r>
      <w:proofErr w:type="spellStart"/>
      <w:r w:rsidRPr="002B1E1E">
        <w:rPr>
          <w:lang w:val="es-MX"/>
        </w:rPr>
        <w:t>Loreley</w:t>
      </w:r>
      <w:proofErr w:type="spellEnd"/>
      <w:r w:rsidRPr="002B1E1E">
        <w:rPr>
          <w:lang w:val="es-MX"/>
        </w:rPr>
        <w:t xml:space="preserve"> </w:t>
      </w:r>
      <w:proofErr w:type="spellStart"/>
      <w:r w:rsidRPr="002B1E1E">
        <w:rPr>
          <w:lang w:val="es-MX"/>
        </w:rPr>
        <w:t>Ritta</w:t>
      </w:r>
      <w:proofErr w:type="spellEnd"/>
      <w:r w:rsidR="00804616" w:rsidRPr="002B1E1E">
        <w:rPr>
          <w:lang w:val="es-MX"/>
        </w:rPr>
        <w:t>.</w:t>
      </w:r>
      <w:r w:rsidRPr="002B1E1E">
        <w:rPr>
          <w:lang w:val="es-MX"/>
        </w:rPr>
        <w:t xml:space="preserve"> </w:t>
      </w:r>
      <w:r>
        <w:t xml:space="preserve">2017. </w:t>
      </w:r>
      <w:r w:rsidR="00500900">
        <w:t>“</w:t>
      </w:r>
      <w:r>
        <w:t>Anthropology, participation, and the democratization of knowledge: participatory research using video with youth living in extreme poverty</w:t>
      </w:r>
      <w:r w:rsidR="004503B0">
        <w:t>.</w:t>
      </w:r>
      <w:r w:rsidR="00500900">
        <w:t>”</w:t>
      </w:r>
      <w:r>
        <w:t xml:space="preserve"> </w:t>
      </w:r>
      <w:r>
        <w:rPr>
          <w:i/>
        </w:rPr>
        <w:t>International Journal of Qualitative Studies in Education</w:t>
      </w:r>
      <w:r>
        <w:t xml:space="preserve"> 30(5): 464-473</w:t>
      </w:r>
      <w:r w:rsidR="00500900">
        <w:t>.</w:t>
      </w:r>
    </w:p>
    <w:p w14:paraId="728564A6" w14:textId="0D853CB8" w:rsidR="00AF64E1" w:rsidRDefault="00AF64E1" w:rsidP="008F538D">
      <w:pPr>
        <w:spacing w:line="240" w:lineRule="auto"/>
      </w:pPr>
      <w:r>
        <w:t>Behrman, Carolyn</w:t>
      </w:r>
      <w:r w:rsidR="00804616">
        <w:t>.</w:t>
      </w:r>
      <w:r w:rsidRPr="00AF64E1">
        <w:t xml:space="preserve"> 2011</w:t>
      </w:r>
      <w:r>
        <w:t>.</w:t>
      </w:r>
      <w:r w:rsidRPr="00AF64E1">
        <w:t xml:space="preserve"> </w:t>
      </w:r>
      <w:r w:rsidR="00804616">
        <w:t>“</w:t>
      </w:r>
      <w:r w:rsidRPr="00AF64E1">
        <w:t>Food For Thought: Coalition Process and a Community‐Based Research and Service‐Learning Project</w:t>
      </w:r>
      <w:r w:rsidR="004503B0">
        <w:t>.”</w:t>
      </w:r>
      <w:r w:rsidRPr="00AF64E1">
        <w:t xml:space="preserve"> </w:t>
      </w:r>
      <w:r w:rsidRPr="00AF64E1">
        <w:rPr>
          <w:i/>
        </w:rPr>
        <w:t>Annals of Anthropological Practice</w:t>
      </w:r>
      <w:r>
        <w:t xml:space="preserve"> </w:t>
      </w:r>
      <w:r w:rsidRPr="00AF64E1">
        <w:t>35</w:t>
      </w:r>
      <w:r>
        <w:t>(2)</w:t>
      </w:r>
      <w:r w:rsidRPr="00AF64E1">
        <w:t>: 79-95</w:t>
      </w:r>
      <w:r w:rsidR="00804616">
        <w:t>.</w:t>
      </w:r>
    </w:p>
    <w:p w14:paraId="4F41D717" w14:textId="1E2E42ED" w:rsidR="00E61E1F" w:rsidRDefault="00E61E1F" w:rsidP="008F538D">
      <w:pPr>
        <w:spacing w:line="240" w:lineRule="auto"/>
      </w:pPr>
      <w:proofErr w:type="spellStart"/>
      <w:r>
        <w:t>Cadwalladr</w:t>
      </w:r>
      <w:proofErr w:type="spellEnd"/>
      <w:r>
        <w:t>, Carole and Emma Graham-Harrison</w:t>
      </w:r>
      <w:r w:rsidR="004503B0">
        <w:t>.</w:t>
      </w:r>
      <w:r>
        <w:t xml:space="preserve"> 2018. </w:t>
      </w:r>
      <w:r w:rsidR="004503B0">
        <w:t>“</w:t>
      </w:r>
      <w:r>
        <w:t>Revealed: 50 Million Facebook Profiles Harvested for Cambridge Analytica in Major Data Breach.</w:t>
      </w:r>
      <w:r w:rsidR="004503B0">
        <w:t>”</w:t>
      </w:r>
      <w:r>
        <w:t xml:space="preserve"> </w:t>
      </w:r>
      <w:r>
        <w:rPr>
          <w:i/>
        </w:rPr>
        <w:t xml:space="preserve">The Observer </w:t>
      </w:r>
      <w:r>
        <w:t xml:space="preserve">17 March 2018. Available at </w:t>
      </w:r>
      <w:hyperlink r:id="rId12" w:history="1">
        <w:r w:rsidRPr="00B35C72">
          <w:rPr>
            <w:rStyle w:val="Hyperlink"/>
          </w:rPr>
          <w:t>https://www.theguardian.com/news/2018/mar/17/cambridge-analytica-facebook-influence-us-election</w:t>
        </w:r>
      </w:hyperlink>
      <w:r>
        <w:t xml:space="preserve"> </w:t>
      </w:r>
    </w:p>
    <w:p w14:paraId="3DCAE452" w14:textId="77777777" w:rsidR="00066D13" w:rsidRDefault="00066D13" w:rsidP="00066D13">
      <w:pPr>
        <w:spacing w:line="240" w:lineRule="auto"/>
      </w:pPr>
      <w:proofErr w:type="spellStart"/>
      <w:r>
        <w:t>Chibnik</w:t>
      </w:r>
      <w:proofErr w:type="spellEnd"/>
      <w:r>
        <w:t>, Michael 2020. “Practical and Ethical Complications of Participatory Research.” This volume.</w:t>
      </w:r>
    </w:p>
    <w:p w14:paraId="6FCA4521" w14:textId="77777777" w:rsidR="00066D13" w:rsidRPr="00E61E1F" w:rsidRDefault="00066D13" w:rsidP="008F538D">
      <w:pPr>
        <w:spacing w:line="240" w:lineRule="auto"/>
      </w:pPr>
    </w:p>
    <w:p w14:paraId="52D3C351" w14:textId="779DA829" w:rsidR="00AF64E1" w:rsidRPr="00FF1268" w:rsidRDefault="00AF64E1" w:rsidP="008F538D">
      <w:pPr>
        <w:spacing w:line="240" w:lineRule="auto"/>
      </w:pPr>
      <w:r>
        <w:lastRenderedPageBreak/>
        <w:t>Contreras, Ricardo and David Griffith</w:t>
      </w:r>
      <w:r w:rsidR="006239E8">
        <w:t>.</w:t>
      </w:r>
      <w:r>
        <w:t xml:space="preserve"> 2011.</w:t>
      </w:r>
      <w:r w:rsidRPr="00AF64E1">
        <w:t xml:space="preserve"> </w:t>
      </w:r>
      <w:r w:rsidR="006239E8">
        <w:t>“</w:t>
      </w:r>
      <w:r w:rsidRPr="00AF64E1">
        <w:t>Building a Latino‐Engaged Action‐Research Collaborative: A Challenging University–Community Encounter</w:t>
      </w:r>
      <w:r w:rsidR="006239E8">
        <w:t>.”</w:t>
      </w:r>
      <w:r w:rsidRPr="00AF64E1">
        <w:t xml:space="preserve"> </w:t>
      </w:r>
      <w:r w:rsidRPr="006239E8">
        <w:rPr>
          <w:i/>
        </w:rPr>
        <w:t>Annals of Anthropological Practice</w:t>
      </w:r>
      <w:r w:rsidRPr="00AF64E1">
        <w:t xml:space="preserve"> 35</w:t>
      </w:r>
      <w:r>
        <w:t>(2)</w:t>
      </w:r>
      <w:r w:rsidRPr="00AF64E1">
        <w:t>: 96-111</w:t>
      </w:r>
      <w:r w:rsidR="006239E8">
        <w:t>.</w:t>
      </w:r>
    </w:p>
    <w:p w14:paraId="6EE63FC6" w14:textId="49980335" w:rsidR="00FC1477" w:rsidRDefault="00FC1477" w:rsidP="008F538D">
      <w:pPr>
        <w:spacing w:line="240" w:lineRule="auto"/>
      </w:pPr>
      <w:r>
        <w:t>Cooper, Matthew</w:t>
      </w:r>
      <w:r w:rsidR="006239E8">
        <w:t>.</w:t>
      </w:r>
      <w:r>
        <w:t xml:space="preserve"> 2009. </w:t>
      </w:r>
      <w:r w:rsidR="006239E8">
        <w:t>“</w:t>
      </w:r>
      <w:r w:rsidRPr="00FC1477">
        <w:t>Sharing Data and Results with Study Participants: Report on a Survey of Cultural Anthropologists</w:t>
      </w:r>
      <w:r w:rsidR="006239E8">
        <w:t xml:space="preserve">.” </w:t>
      </w:r>
      <w:r w:rsidRPr="00FC1477">
        <w:rPr>
          <w:i/>
        </w:rPr>
        <w:t xml:space="preserve">Journal </w:t>
      </w:r>
      <w:r w:rsidR="00B67B91" w:rsidRPr="00FC1477">
        <w:rPr>
          <w:i/>
        </w:rPr>
        <w:t>of</w:t>
      </w:r>
      <w:r w:rsidRPr="00FC1477">
        <w:rPr>
          <w:i/>
        </w:rPr>
        <w:t xml:space="preserve"> Empirical Research </w:t>
      </w:r>
      <w:r w:rsidR="00B67B91" w:rsidRPr="00FC1477">
        <w:rPr>
          <w:i/>
        </w:rPr>
        <w:t>on</w:t>
      </w:r>
      <w:r w:rsidRPr="00FC1477">
        <w:rPr>
          <w:i/>
        </w:rPr>
        <w:t xml:space="preserve"> Human Research Ethics</w:t>
      </w:r>
      <w:r>
        <w:t xml:space="preserve"> 3:</w:t>
      </w:r>
      <w:r w:rsidRPr="00FC1477">
        <w:t xml:space="preserve"> 19-34. </w:t>
      </w:r>
    </w:p>
    <w:p w14:paraId="25CFFBB8" w14:textId="3BE6F5AE" w:rsidR="00E6659A" w:rsidRDefault="00E6659A" w:rsidP="008F538D">
      <w:pPr>
        <w:spacing w:line="240" w:lineRule="auto"/>
      </w:pPr>
      <w:r>
        <w:t xml:space="preserve">European Commission n.d. </w:t>
      </w:r>
      <w:r w:rsidR="006239E8">
        <w:t>“</w:t>
      </w:r>
      <w:r w:rsidRPr="00E6659A">
        <w:t>New era for data protection in the EU: what changes after May 2018</w:t>
      </w:r>
      <w:r w:rsidR="006239E8">
        <w:t>.”</w:t>
      </w:r>
      <w:r>
        <w:t xml:space="preserve"> Factsheet. </w:t>
      </w:r>
      <w:r w:rsidR="006D6E39">
        <w:t xml:space="preserve">Accessed </w:t>
      </w:r>
      <w:r w:rsidR="002A1D25">
        <w:t xml:space="preserve">01/20/2019. </w:t>
      </w:r>
      <w:hyperlink r:id="rId13" w:history="1">
        <w:r w:rsidRPr="0034217A">
          <w:rPr>
            <w:rStyle w:val="Hyperlink"/>
          </w:rPr>
          <w:t>https://ec.europa.eu/commission/sites/beta-political/files/data-protection-factsheet-changes_en.pdf</w:t>
        </w:r>
      </w:hyperlink>
      <w:r>
        <w:t xml:space="preserve"> </w:t>
      </w:r>
    </w:p>
    <w:p w14:paraId="7A50FF34" w14:textId="5D1F0651" w:rsidR="00174E9F" w:rsidRPr="005C5007" w:rsidRDefault="00174E9F" w:rsidP="008F538D">
      <w:pPr>
        <w:spacing w:line="240" w:lineRule="auto"/>
      </w:pPr>
      <w:r>
        <w:t>European Commission 2019 [</w:t>
      </w:r>
      <w:r w:rsidR="005C5007">
        <w:t xml:space="preserve">2015]. </w:t>
      </w:r>
      <w:r w:rsidR="005C5007" w:rsidRPr="005C5007">
        <w:rPr>
          <w:i/>
        </w:rPr>
        <w:t>H2020 Programme AGA – Annotated Model Grant Agreement</w:t>
      </w:r>
      <w:r w:rsidR="005C5007">
        <w:t xml:space="preserve">. </w:t>
      </w:r>
      <w:r w:rsidR="00CD52AC">
        <w:t>Accessed 10/29/2019</w:t>
      </w:r>
      <w:r w:rsidR="00F42A14">
        <w:t xml:space="preserve">.  </w:t>
      </w:r>
      <w:hyperlink r:id="rId14" w:history="1">
        <w:r w:rsidR="005C5007">
          <w:rPr>
            <w:rStyle w:val="Hyperlink"/>
          </w:rPr>
          <w:t>https://ec.europa.eu/research/participants/data/ref/h2020/grants_manual/amga/h2020-amga_en.pdf</w:t>
        </w:r>
      </w:hyperlink>
    </w:p>
    <w:p w14:paraId="36F87BFD" w14:textId="6BDBD59C" w:rsidR="002154F3" w:rsidRDefault="002154F3" w:rsidP="008F538D">
      <w:pPr>
        <w:spacing w:line="240" w:lineRule="auto"/>
      </w:pPr>
      <w:r>
        <w:t>Field, Les</w:t>
      </w:r>
      <w:r w:rsidR="00F42A14">
        <w:t>.</w:t>
      </w:r>
      <w:r>
        <w:t xml:space="preserve"> 1998. </w:t>
      </w:r>
      <w:r w:rsidR="00F42A14">
        <w:t>“</w:t>
      </w:r>
      <w:r>
        <w:t>Post-</w:t>
      </w:r>
      <w:proofErr w:type="spellStart"/>
      <w:r>
        <w:t>Sandanista</w:t>
      </w:r>
      <w:proofErr w:type="spellEnd"/>
      <w:r>
        <w:t xml:space="preserve"> Ethnic Identities in Western Nicaragua</w:t>
      </w:r>
      <w:r w:rsidR="00F42A14">
        <w:t>.”</w:t>
      </w:r>
      <w:r>
        <w:t xml:space="preserve"> </w:t>
      </w:r>
      <w:r>
        <w:rPr>
          <w:i/>
        </w:rPr>
        <w:t xml:space="preserve">American Anthropologist </w:t>
      </w:r>
      <w:r>
        <w:t>100(2): 431-443.</w:t>
      </w:r>
    </w:p>
    <w:p w14:paraId="04115687" w14:textId="7A9A647F" w:rsidR="00356EFC" w:rsidRDefault="00976DB7" w:rsidP="008F538D">
      <w:pPr>
        <w:spacing w:line="240" w:lineRule="auto"/>
      </w:pPr>
      <w:r>
        <w:t>GDPR</w:t>
      </w:r>
      <w:r w:rsidR="00356EFC">
        <w:t>.EU</w:t>
      </w:r>
      <w:r w:rsidR="00F42A14">
        <w:t>.</w:t>
      </w:r>
      <w:r>
        <w:t xml:space="preserve"> 2019a.</w:t>
      </w:r>
      <w:r w:rsidR="00356EFC">
        <w:t xml:space="preserve"> </w:t>
      </w:r>
      <w:r w:rsidR="00F42A14">
        <w:t>“</w:t>
      </w:r>
      <w:r w:rsidR="00356EFC" w:rsidRPr="00356EFC">
        <w:t>What is considered personal data under the EU GDPR?</w:t>
      </w:r>
      <w:r w:rsidR="00F42A14">
        <w:t>”</w:t>
      </w:r>
      <w:r w:rsidR="00356EFC">
        <w:t xml:space="preserve"> Website. Accessed </w:t>
      </w:r>
      <w:r w:rsidR="00F42A14">
        <w:t>10</w:t>
      </w:r>
      <w:r w:rsidR="00356EFC">
        <w:t>/</w:t>
      </w:r>
      <w:r w:rsidR="00F42A14">
        <w:t>29</w:t>
      </w:r>
      <w:r w:rsidR="00356EFC">
        <w:t xml:space="preserve">/2019 </w:t>
      </w:r>
      <w:hyperlink r:id="rId15" w:history="1">
        <w:r w:rsidR="00356EFC" w:rsidRPr="00B35C72">
          <w:rPr>
            <w:rStyle w:val="Hyperlink"/>
          </w:rPr>
          <w:t>https://gdpr.eu/eu-gdpr-personal-data/</w:t>
        </w:r>
      </w:hyperlink>
      <w:r w:rsidR="00356EFC">
        <w:t xml:space="preserve"> </w:t>
      </w:r>
    </w:p>
    <w:p w14:paraId="4919B859" w14:textId="100E5FDD" w:rsidR="00356EFC" w:rsidRDefault="00356EFC" w:rsidP="008F538D">
      <w:pPr>
        <w:spacing w:line="240" w:lineRule="auto"/>
      </w:pPr>
      <w:r>
        <w:t>GDPR.EU</w:t>
      </w:r>
      <w:r w:rsidR="00F42A14">
        <w:t>.</w:t>
      </w:r>
      <w:r>
        <w:t xml:space="preserve"> 2019b. </w:t>
      </w:r>
      <w:r w:rsidR="00F42A14">
        <w:t>“</w:t>
      </w:r>
      <w:r>
        <w:t xml:space="preserve">Article 83. </w:t>
      </w:r>
      <w:r w:rsidRPr="00356EFC">
        <w:t>General conditions for imposing administrative fines</w:t>
      </w:r>
      <w:r>
        <w:t>.</w:t>
      </w:r>
      <w:r w:rsidR="00F42A14">
        <w:t xml:space="preserve">” </w:t>
      </w:r>
      <w:r>
        <w:t xml:space="preserve">Website. Accessed </w:t>
      </w:r>
      <w:r w:rsidR="00F42A14">
        <w:t>10/29</w:t>
      </w:r>
      <w:r>
        <w:t xml:space="preserve">/2019 </w:t>
      </w:r>
      <w:hyperlink r:id="rId16" w:history="1">
        <w:r w:rsidRPr="00B35C72">
          <w:rPr>
            <w:rStyle w:val="Hyperlink"/>
          </w:rPr>
          <w:t>https://gdpr.eu/article-83-conditions-for-imposing-administrative-fines/</w:t>
        </w:r>
      </w:hyperlink>
      <w:r>
        <w:t xml:space="preserve"> </w:t>
      </w:r>
    </w:p>
    <w:p w14:paraId="75B970F3" w14:textId="33B5F82F" w:rsidR="008413B9" w:rsidRDefault="008413B9" w:rsidP="008F538D">
      <w:pPr>
        <w:spacing w:line="240" w:lineRule="auto"/>
      </w:pPr>
      <w:proofErr w:type="spellStart"/>
      <w:r>
        <w:t>Humphris</w:t>
      </w:r>
      <w:proofErr w:type="spellEnd"/>
      <w:r>
        <w:t>, Rachel</w:t>
      </w:r>
      <w:r w:rsidR="00F42A14">
        <w:t>.</w:t>
      </w:r>
      <w:r>
        <w:t xml:space="preserve"> 2018. </w:t>
      </w:r>
      <w:r w:rsidR="00F42A14">
        <w:t>“</w:t>
      </w:r>
      <w:r>
        <w:t>Is Anthropology Still Legal? Notes on the impact of GDPR.</w:t>
      </w:r>
      <w:r w:rsidR="00F42A14">
        <w:t>”</w:t>
      </w:r>
      <w:r>
        <w:t xml:space="preserve"> </w:t>
      </w:r>
      <w:r w:rsidRPr="001812A0">
        <w:rPr>
          <w:i/>
        </w:rPr>
        <w:t xml:space="preserve">Institute for Research </w:t>
      </w:r>
      <w:r w:rsidR="001812A0" w:rsidRPr="001812A0">
        <w:rPr>
          <w:i/>
        </w:rPr>
        <w:t>into</w:t>
      </w:r>
      <w:r w:rsidRPr="001812A0">
        <w:rPr>
          <w:i/>
        </w:rPr>
        <w:t xml:space="preserve"> Superdiversity</w:t>
      </w:r>
      <w:r w:rsidR="001812A0">
        <w:t xml:space="preserve"> website.</w:t>
      </w:r>
      <w:r>
        <w:t xml:space="preserve"> </w:t>
      </w:r>
      <w:r w:rsidR="00C67A02">
        <w:t xml:space="preserve">Accessed 01/18/2019 </w:t>
      </w:r>
      <w:hyperlink r:id="rId17" w:history="1">
        <w:r w:rsidR="00C67A02" w:rsidRPr="00A54AAE">
          <w:rPr>
            <w:rStyle w:val="Hyperlink"/>
          </w:rPr>
          <w:t>https://superdiversity.net/2018/05/16/is-anthropology-legal/</w:t>
        </w:r>
      </w:hyperlink>
      <w:r>
        <w:t xml:space="preserve"> </w:t>
      </w:r>
    </w:p>
    <w:p w14:paraId="662F0486" w14:textId="6F935E9D" w:rsidR="00F718D2" w:rsidRPr="002154F3" w:rsidRDefault="00F718D2" w:rsidP="008F538D">
      <w:pPr>
        <w:spacing w:line="240" w:lineRule="auto"/>
      </w:pPr>
      <w:proofErr w:type="spellStart"/>
      <w:r w:rsidRPr="00F718D2">
        <w:t>Hurtig</w:t>
      </w:r>
      <w:proofErr w:type="spellEnd"/>
      <w:r w:rsidRPr="00F718D2">
        <w:t>, J</w:t>
      </w:r>
      <w:r>
        <w:t>anise</w:t>
      </w:r>
      <w:r w:rsidR="001E2E98">
        <w:t>.</w:t>
      </w:r>
      <w:r w:rsidRPr="00F718D2">
        <w:t xml:space="preserve"> 2008</w:t>
      </w:r>
      <w:r>
        <w:t>.</w:t>
      </w:r>
      <w:r w:rsidRPr="00F718D2">
        <w:t xml:space="preserve"> </w:t>
      </w:r>
      <w:r w:rsidR="001E2E98">
        <w:t>“</w:t>
      </w:r>
      <w:r w:rsidRPr="00F718D2">
        <w:t>Community Writing, Participatory Research, and an Anthropological Sensibility</w:t>
      </w:r>
      <w:r w:rsidR="001E2E98">
        <w:t>.”</w:t>
      </w:r>
      <w:r w:rsidRPr="00F718D2">
        <w:t xml:space="preserve"> </w:t>
      </w:r>
      <w:r w:rsidRPr="00594E0E">
        <w:rPr>
          <w:i/>
        </w:rPr>
        <w:t>Anthropology &amp; Education Quarterly</w:t>
      </w:r>
      <w:r w:rsidR="00594E0E">
        <w:rPr>
          <w:i/>
        </w:rPr>
        <w:t xml:space="preserve"> </w:t>
      </w:r>
      <w:r w:rsidRPr="00F718D2">
        <w:t>39: 92-106.</w:t>
      </w:r>
    </w:p>
    <w:p w14:paraId="34CD7866" w14:textId="3D860A6A" w:rsidR="00E363C4" w:rsidRDefault="00E363C4" w:rsidP="008F538D">
      <w:pPr>
        <w:spacing w:line="240" w:lineRule="auto"/>
      </w:pPr>
      <w:r>
        <w:t xml:space="preserve">Jolly, </w:t>
      </w:r>
      <w:proofErr w:type="spellStart"/>
      <w:r>
        <w:t>Ieuan</w:t>
      </w:r>
      <w:proofErr w:type="spellEnd"/>
      <w:r w:rsidR="007802F4">
        <w:t>.</w:t>
      </w:r>
      <w:r>
        <w:t xml:space="preserve"> 2018. </w:t>
      </w:r>
      <w:r w:rsidR="001E2E98">
        <w:t>“</w:t>
      </w:r>
      <w:r>
        <w:t>Data Protection in the United States: Overview.</w:t>
      </w:r>
      <w:r w:rsidR="001E2E98">
        <w:t xml:space="preserve">” </w:t>
      </w:r>
      <w:r>
        <w:rPr>
          <w:i/>
        </w:rPr>
        <w:t xml:space="preserve">Thompson Reuters: </w:t>
      </w:r>
      <w:r w:rsidR="005D055D">
        <w:rPr>
          <w:i/>
        </w:rPr>
        <w:t>Practical</w:t>
      </w:r>
      <w:r>
        <w:rPr>
          <w:i/>
        </w:rPr>
        <w:t xml:space="preserve"> Law</w:t>
      </w:r>
      <w:r w:rsidR="001E2E98">
        <w:rPr>
          <w:i/>
        </w:rPr>
        <w:t xml:space="preserve"> </w:t>
      </w:r>
      <w:r w:rsidR="001E2E98">
        <w:t>website</w:t>
      </w:r>
      <w:r w:rsidR="005D055D">
        <w:rPr>
          <w:i/>
        </w:rPr>
        <w:t>.</w:t>
      </w:r>
      <w:r w:rsidR="001E2E98">
        <w:t xml:space="preserve"> Accessed </w:t>
      </w:r>
      <w:r w:rsidR="00C67A02">
        <w:t>01/18/2019.</w:t>
      </w:r>
      <w:r>
        <w:rPr>
          <w:i/>
        </w:rPr>
        <w:t xml:space="preserve"> </w:t>
      </w:r>
      <w:hyperlink r:id="rId18" w:history="1">
        <w:r w:rsidR="005D055D" w:rsidRPr="00976BB6">
          <w:rPr>
            <w:rStyle w:val="Hyperlink"/>
          </w:rPr>
          <w:t>https://uk.practicallaw.thomsonreuters.com/6-502-0467?transitionType=Default&amp;contextData=(sc.Default)</w:t>
        </w:r>
      </w:hyperlink>
      <w:r>
        <w:t xml:space="preserve"> </w:t>
      </w:r>
    </w:p>
    <w:p w14:paraId="72F843A8" w14:textId="77777777" w:rsidR="00066D13" w:rsidRDefault="00066D13" w:rsidP="00066D13">
      <w:pPr>
        <w:spacing w:line="240" w:lineRule="auto"/>
      </w:pPr>
      <w:proofErr w:type="spellStart"/>
      <w:r>
        <w:t>Lebrato</w:t>
      </w:r>
      <w:proofErr w:type="spellEnd"/>
      <w:r>
        <w:t>, Matthew 2020. “</w:t>
      </w:r>
      <w:r w:rsidRPr="00997E34">
        <w:t>Participatory research, individual experience, and disciplinary potential</w:t>
      </w:r>
      <w:r>
        <w:t>.” This volume.</w:t>
      </w:r>
    </w:p>
    <w:p w14:paraId="4990B43A" w14:textId="71EEAD74" w:rsidR="00594E0E" w:rsidRDefault="00594E0E" w:rsidP="008F538D">
      <w:pPr>
        <w:spacing w:line="240" w:lineRule="auto"/>
      </w:pPr>
      <w:r w:rsidRPr="00594E0E">
        <w:t>Park, Peter</w:t>
      </w:r>
      <w:r w:rsidR="007802F4">
        <w:t>.</w:t>
      </w:r>
      <w:r w:rsidRPr="00594E0E">
        <w:t xml:space="preserve"> 1993</w:t>
      </w:r>
      <w:r>
        <w:t>.</w:t>
      </w:r>
      <w:r w:rsidRPr="00594E0E">
        <w:t xml:space="preserve"> </w:t>
      </w:r>
      <w:r w:rsidR="007802F4">
        <w:t>“</w:t>
      </w:r>
      <w:r w:rsidRPr="00594E0E">
        <w:t>Participatory Research: Theory and Methodology.</w:t>
      </w:r>
      <w:r w:rsidR="007802F4">
        <w:t>”</w:t>
      </w:r>
      <w:r w:rsidRPr="00594E0E">
        <w:t xml:space="preserve"> In </w:t>
      </w:r>
      <w:r w:rsidRPr="00594E0E">
        <w:rPr>
          <w:i/>
        </w:rPr>
        <w:t>Voices of Change: Participatory Research in the United States and Canada</w:t>
      </w:r>
      <w:r w:rsidR="00F64CE2">
        <w:t xml:space="preserve">, edited by </w:t>
      </w:r>
      <w:r w:rsidRPr="00594E0E">
        <w:t>Peter Park, Mary Brydon‐Miller, Budd Hall, and Ted Jackson</w:t>
      </w:r>
      <w:r w:rsidR="00F64CE2">
        <w:t>,</w:t>
      </w:r>
      <w:r w:rsidRPr="00594E0E">
        <w:t xml:space="preserve"> 1–19. Westport, CT: Bergin and Garvey.</w:t>
      </w:r>
    </w:p>
    <w:p w14:paraId="4F5EE05F" w14:textId="7C0D9CB7" w:rsidR="006A1CEA" w:rsidRDefault="006A1CEA" w:rsidP="008F538D">
      <w:pPr>
        <w:spacing w:line="240" w:lineRule="auto"/>
      </w:pPr>
      <w:proofErr w:type="spellStart"/>
      <w:r>
        <w:t>Pels</w:t>
      </w:r>
      <w:proofErr w:type="spellEnd"/>
      <w:r>
        <w:t xml:space="preserve">, </w:t>
      </w:r>
      <w:r w:rsidR="00DD33E4">
        <w:t xml:space="preserve">Peter </w:t>
      </w:r>
      <w:r w:rsidRPr="00DD33E4">
        <w:rPr>
          <w:i/>
        </w:rPr>
        <w:t>et al</w:t>
      </w:r>
      <w:r w:rsidR="001E34C8">
        <w:rPr>
          <w:i/>
        </w:rPr>
        <w:t>.</w:t>
      </w:r>
      <w:r>
        <w:t xml:space="preserve"> 2018. </w:t>
      </w:r>
      <w:r w:rsidR="001E34C8">
        <w:t>“</w:t>
      </w:r>
      <w:r w:rsidRPr="006A1CEA">
        <w:t>Data management in anthropology: the next phase in ethics governance?</w:t>
      </w:r>
      <w:r w:rsidR="001E34C8">
        <w:t>”</w:t>
      </w:r>
      <w:r>
        <w:t xml:space="preserve"> </w:t>
      </w:r>
      <w:r>
        <w:rPr>
          <w:i/>
        </w:rPr>
        <w:t>Social Anthropology</w:t>
      </w:r>
      <w:r>
        <w:t xml:space="preserve"> 26(3): 391-413.</w:t>
      </w:r>
    </w:p>
    <w:p w14:paraId="31421F81" w14:textId="265E0D8E" w:rsidR="00AC2999" w:rsidRDefault="00AC2999" w:rsidP="008F538D">
      <w:pPr>
        <w:spacing w:line="240" w:lineRule="auto"/>
      </w:pPr>
      <w:r>
        <w:t>Rees, Martha 2020. “</w:t>
      </w:r>
      <w:r w:rsidRPr="00997E34">
        <w:t>Field Work Protocols for Anthropological Research in Mexico</w:t>
      </w:r>
      <w:r>
        <w:t>.” This volume.</w:t>
      </w:r>
    </w:p>
    <w:p w14:paraId="19C24DBA" w14:textId="77777777" w:rsidR="00AC2999" w:rsidRDefault="00AC2999" w:rsidP="00AC2999">
      <w:pPr>
        <w:spacing w:line="240" w:lineRule="auto"/>
      </w:pPr>
      <w:r>
        <w:t>Rees, Martha and Walter Little. 2020 “</w:t>
      </w:r>
      <w:r w:rsidRPr="002F3E53">
        <w:t>Introduction: Participatory Research and Ethics in Mesoamerican Fieldwork</w:t>
      </w:r>
      <w:r>
        <w:t>.” This volume.</w:t>
      </w:r>
    </w:p>
    <w:p w14:paraId="05D28B69" w14:textId="2E230D65" w:rsidR="00DD33E4" w:rsidRDefault="00DD33E4" w:rsidP="008F538D">
      <w:pPr>
        <w:spacing w:line="240" w:lineRule="auto"/>
      </w:pPr>
      <w:r>
        <w:t>Simmons, David</w:t>
      </w:r>
      <w:r w:rsidR="001E34C8">
        <w:t>.</w:t>
      </w:r>
      <w:r>
        <w:t xml:space="preserve"> 2010. </w:t>
      </w:r>
      <w:r w:rsidR="001E34C8">
        <w:t>“</w:t>
      </w:r>
      <w:r>
        <w:t>Anthropology-led Community Engagement Programs</w:t>
      </w:r>
      <w:r w:rsidR="001E34C8">
        <w:t>.”</w:t>
      </w:r>
      <w:r w:rsidRPr="00DD33E4">
        <w:rPr>
          <w:i/>
        </w:rPr>
        <w:t xml:space="preserve"> American Anthropologist</w:t>
      </w:r>
      <w:r w:rsidRPr="00DD33E4">
        <w:t xml:space="preserve"> 112</w:t>
      </w:r>
      <w:r w:rsidR="002D1B5F">
        <w:t>(4)</w:t>
      </w:r>
      <w:r w:rsidRPr="00DD33E4">
        <w:t>: 643-645</w:t>
      </w:r>
      <w:r>
        <w:t>.</w:t>
      </w:r>
    </w:p>
    <w:p w14:paraId="69956B48" w14:textId="77777777" w:rsidR="00AC2999" w:rsidRDefault="00AC2999" w:rsidP="00AC2999">
      <w:pPr>
        <w:spacing w:line="240" w:lineRule="auto"/>
      </w:pPr>
      <w:r>
        <w:t>Taylor, Sarah 2020. “</w:t>
      </w:r>
      <w:r w:rsidRPr="004A7C92">
        <w:t>Ethnographers and collaborators in the voluntourism encounter</w:t>
      </w:r>
      <w:r>
        <w:t>.” This volume.</w:t>
      </w:r>
    </w:p>
    <w:p w14:paraId="11C5BAA1" w14:textId="77777777" w:rsidR="00AC2999" w:rsidRPr="006A1CEA" w:rsidRDefault="00AC2999" w:rsidP="008F538D">
      <w:pPr>
        <w:spacing w:line="240" w:lineRule="auto"/>
      </w:pPr>
    </w:p>
    <w:sectPr w:rsidR="00AC2999" w:rsidRPr="006A1CEA" w:rsidSect="00E363C4">
      <w:headerReference w:type="default" r:id="rId19"/>
      <w:footerReference w:type="default" r:id="rId2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3BC4" w14:textId="77777777" w:rsidR="00434212" w:rsidRDefault="00434212" w:rsidP="00C838F2">
      <w:pPr>
        <w:spacing w:after="0" w:line="240" w:lineRule="auto"/>
      </w:pPr>
      <w:r>
        <w:separator/>
      </w:r>
    </w:p>
  </w:endnote>
  <w:endnote w:type="continuationSeparator" w:id="0">
    <w:p w14:paraId="6290A2C9" w14:textId="77777777" w:rsidR="00434212" w:rsidRDefault="00434212" w:rsidP="00C8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2777"/>
      <w:docPartObj>
        <w:docPartGallery w:val="Page Numbers (Bottom of Page)"/>
        <w:docPartUnique/>
      </w:docPartObj>
    </w:sdtPr>
    <w:sdtEndPr>
      <w:rPr>
        <w:noProof/>
      </w:rPr>
    </w:sdtEndPr>
    <w:sdtContent>
      <w:p w14:paraId="65CF1A1E" w14:textId="77777777" w:rsidR="00A52F64" w:rsidRDefault="00A52F64">
        <w:pPr>
          <w:pStyle w:val="Footer"/>
          <w:jc w:val="right"/>
        </w:pPr>
        <w:r>
          <w:fldChar w:fldCharType="begin"/>
        </w:r>
        <w:r>
          <w:instrText xml:space="preserve"> PAGE   \* MERGEFORMAT </w:instrText>
        </w:r>
        <w:r>
          <w:fldChar w:fldCharType="separate"/>
        </w:r>
        <w:r w:rsidR="0005566A">
          <w:rPr>
            <w:noProof/>
          </w:rPr>
          <w:t>7</w:t>
        </w:r>
        <w:r>
          <w:rPr>
            <w:noProof/>
          </w:rPr>
          <w:fldChar w:fldCharType="end"/>
        </w:r>
      </w:p>
    </w:sdtContent>
  </w:sdt>
  <w:p w14:paraId="5529E87C" w14:textId="77777777" w:rsidR="00A52F64" w:rsidRDefault="00A5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A65A" w14:textId="77777777" w:rsidR="00434212" w:rsidRDefault="00434212" w:rsidP="00C838F2">
      <w:pPr>
        <w:spacing w:after="0" w:line="240" w:lineRule="auto"/>
      </w:pPr>
      <w:r>
        <w:separator/>
      </w:r>
    </w:p>
  </w:footnote>
  <w:footnote w:type="continuationSeparator" w:id="0">
    <w:p w14:paraId="6186B5A5" w14:textId="77777777" w:rsidR="00434212" w:rsidRDefault="00434212" w:rsidP="00C838F2">
      <w:pPr>
        <w:spacing w:after="0" w:line="240" w:lineRule="auto"/>
      </w:pPr>
      <w:r>
        <w:continuationSeparator/>
      </w:r>
    </w:p>
  </w:footnote>
  <w:footnote w:id="1">
    <w:p w14:paraId="56E0D2CD" w14:textId="1727AF6D" w:rsidR="00707394" w:rsidRDefault="00707394">
      <w:pPr>
        <w:pStyle w:val="FootnoteText"/>
      </w:pPr>
      <w:r w:rsidRPr="001B60A2">
        <w:rPr>
          <w:rStyle w:val="FootnoteReference"/>
          <w:rFonts w:cstheme="minorHAnsi"/>
        </w:rPr>
        <w:footnoteRef/>
      </w:r>
      <w:r>
        <w:t xml:space="preserve"> Cambridge Analytica was a political consultancy firm that sold access to personal data of</w:t>
      </w:r>
      <w:r w:rsidR="003D72B9">
        <w:t xml:space="preserve"> up to 50 million</w:t>
      </w:r>
      <w:r>
        <w:t xml:space="preserve"> Facebook users, which had been collected under the guise of </w:t>
      </w:r>
      <w:r w:rsidR="001860EF">
        <w:t>academic research</w:t>
      </w:r>
      <w:r>
        <w:t xml:space="preserve">. It </w:t>
      </w:r>
      <w:r w:rsidR="001860EF">
        <w:t>wa</w:t>
      </w:r>
      <w:r>
        <w:t>s been used by</w:t>
      </w:r>
      <w:r w:rsidR="003D72B9">
        <w:t xml:space="preserve"> </w:t>
      </w:r>
      <w:r w:rsidR="00E61E1F">
        <w:t>right-wing political campaigns</w:t>
      </w:r>
      <w:r w:rsidR="003D72B9">
        <w:t xml:space="preserve"> </w:t>
      </w:r>
      <w:r>
        <w:t>in a number o</w:t>
      </w:r>
      <w:r w:rsidR="00B84C5C">
        <w:t>f national elections and referenda in countries such as Canada, Indi</w:t>
      </w:r>
      <w:r w:rsidR="00474912">
        <w:t>a, Mexico</w:t>
      </w:r>
      <w:r w:rsidR="001860EF">
        <w:t>, the United Kingdom</w:t>
      </w:r>
      <w:r w:rsidR="00474912">
        <w:t xml:space="preserve"> and the United </w:t>
      </w:r>
      <w:r w:rsidR="003D72B9">
        <w:t xml:space="preserve">States (see </w:t>
      </w:r>
      <w:proofErr w:type="spellStart"/>
      <w:r w:rsidR="00E61E1F">
        <w:t>Cadwalladr</w:t>
      </w:r>
      <w:proofErr w:type="spellEnd"/>
      <w:r w:rsidR="00E61E1F">
        <w:t xml:space="preserve"> and Graham-Harrison</w:t>
      </w:r>
      <w:r w:rsidR="003D72B9">
        <w:t xml:space="preserve"> </w:t>
      </w:r>
      <w:r w:rsidR="00E61E1F">
        <w:t>2018).</w:t>
      </w:r>
      <w:r w:rsidR="003D72B9">
        <w:t xml:space="preserve"> </w:t>
      </w:r>
    </w:p>
  </w:footnote>
  <w:footnote w:id="2">
    <w:p w14:paraId="6291546F" w14:textId="4F4531ED" w:rsidR="006963B3" w:rsidRDefault="006963B3">
      <w:pPr>
        <w:pStyle w:val="FootnoteText"/>
      </w:pPr>
      <w:r>
        <w:rPr>
          <w:rStyle w:val="FootnoteReference"/>
        </w:rPr>
        <w:footnoteRef/>
      </w:r>
      <w:r w:rsidR="00AA0C0A">
        <w:t xml:space="preserve"> See</w:t>
      </w:r>
      <w:r>
        <w:t xml:space="preserve"> </w:t>
      </w:r>
      <w:hyperlink r:id="rId1" w:history="1">
        <w:r w:rsidRPr="00B35C72">
          <w:rPr>
            <w:rStyle w:val="Hyperlink"/>
          </w:rPr>
          <w:t>https://ec.europa.eu/programmes/horizon2020/en/what-horizon-2020</w:t>
        </w:r>
      </w:hyperlink>
      <w:r>
        <w:t xml:space="preserve"> </w:t>
      </w:r>
    </w:p>
  </w:footnote>
  <w:footnote w:id="3">
    <w:p w14:paraId="0EE27CC5" w14:textId="3F781CFE" w:rsidR="000F4A7C" w:rsidRDefault="000F4A7C">
      <w:pPr>
        <w:pStyle w:val="FootnoteText"/>
      </w:pPr>
      <w:r>
        <w:rPr>
          <w:rStyle w:val="FootnoteReference"/>
        </w:rPr>
        <w:footnoteRef/>
      </w:r>
      <w:r>
        <w:t xml:space="preserve"> This is where the EC’s focus on individuals’ “right to be forgotten” becomes relevant to qualitative research; if individuals can be identified at all by people not directly employed on the research grant, it undermines this right.</w:t>
      </w:r>
    </w:p>
  </w:footnote>
  <w:footnote w:id="4">
    <w:p w14:paraId="1727A96D" w14:textId="039E46BF" w:rsidR="0093114C" w:rsidRDefault="0093114C" w:rsidP="0093114C">
      <w:pPr>
        <w:pStyle w:val="FootnoteText"/>
      </w:pPr>
      <w:r>
        <w:rPr>
          <w:rStyle w:val="FootnoteReference"/>
        </w:rPr>
        <w:footnoteRef/>
      </w:r>
      <w:r>
        <w:t xml:space="preserve"> Although the EC also espouses principles of</w:t>
      </w:r>
      <w:r w:rsidR="000F4A7C">
        <w:t xml:space="preserve"> “open access”</w:t>
      </w:r>
      <w:r w:rsidR="00342963">
        <w:t xml:space="preserve"> and</w:t>
      </w:r>
      <w:r w:rsidR="000F4A7C">
        <w:t xml:space="preserve"> “data sharing” </w:t>
      </w:r>
      <w:r>
        <w:t>with third-parties</w:t>
      </w:r>
      <w:r w:rsidR="00342963">
        <w:t xml:space="preserve">, </w:t>
      </w:r>
      <w:r>
        <w:t>what is imagined will be shared are the outputs of numerical analysis of large surveys, aggregate data, and scientific research where the personal information and identities of research participants are completely removed and unimportant to the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6510" w14:textId="77777777" w:rsidR="003E3864" w:rsidRDefault="003E3864">
    <w:pPr>
      <w:pStyle w:val="Header"/>
      <w:jc w:val="right"/>
    </w:pPr>
  </w:p>
  <w:p w14:paraId="2896F141" w14:textId="77777777" w:rsidR="003E3864" w:rsidRDefault="003E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0680A"/>
    <w:multiLevelType w:val="hybridMultilevel"/>
    <w:tmpl w:val="0BF6624E"/>
    <w:lvl w:ilvl="0" w:tplc="1ADE2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C6"/>
    <w:rsid w:val="00000EB4"/>
    <w:rsid w:val="0005566A"/>
    <w:rsid w:val="00061AF8"/>
    <w:rsid w:val="00065E29"/>
    <w:rsid w:val="00066D13"/>
    <w:rsid w:val="00083E0A"/>
    <w:rsid w:val="000A171C"/>
    <w:rsid w:val="000F4A7C"/>
    <w:rsid w:val="001042CA"/>
    <w:rsid w:val="00174E9F"/>
    <w:rsid w:val="001812A0"/>
    <w:rsid w:val="0018273A"/>
    <w:rsid w:val="001860EF"/>
    <w:rsid w:val="001B3F71"/>
    <w:rsid w:val="001B60A2"/>
    <w:rsid w:val="001E2E98"/>
    <w:rsid w:val="001E34C8"/>
    <w:rsid w:val="001F1D90"/>
    <w:rsid w:val="002154F3"/>
    <w:rsid w:val="002562D8"/>
    <w:rsid w:val="0029198D"/>
    <w:rsid w:val="002A1D25"/>
    <w:rsid w:val="002B1E1E"/>
    <w:rsid w:val="002B4055"/>
    <w:rsid w:val="002C556E"/>
    <w:rsid w:val="002D1B5F"/>
    <w:rsid w:val="002F054E"/>
    <w:rsid w:val="002F3E53"/>
    <w:rsid w:val="00300E92"/>
    <w:rsid w:val="0031099C"/>
    <w:rsid w:val="00342963"/>
    <w:rsid w:val="00356EFC"/>
    <w:rsid w:val="00375DC9"/>
    <w:rsid w:val="003773A2"/>
    <w:rsid w:val="003C0D3A"/>
    <w:rsid w:val="003C4710"/>
    <w:rsid w:val="003D6BF8"/>
    <w:rsid w:val="003D72B9"/>
    <w:rsid w:val="003E3864"/>
    <w:rsid w:val="003E7C10"/>
    <w:rsid w:val="0042574D"/>
    <w:rsid w:val="00434212"/>
    <w:rsid w:val="0044340F"/>
    <w:rsid w:val="004503B0"/>
    <w:rsid w:val="004579A1"/>
    <w:rsid w:val="0046244D"/>
    <w:rsid w:val="00474912"/>
    <w:rsid w:val="00491C91"/>
    <w:rsid w:val="00494795"/>
    <w:rsid w:val="004A113F"/>
    <w:rsid w:val="004A7C92"/>
    <w:rsid w:val="004B1ED4"/>
    <w:rsid w:val="004B20F7"/>
    <w:rsid w:val="004F4CF8"/>
    <w:rsid w:val="0050044E"/>
    <w:rsid w:val="00500900"/>
    <w:rsid w:val="00502306"/>
    <w:rsid w:val="00507EC8"/>
    <w:rsid w:val="00516995"/>
    <w:rsid w:val="005323C6"/>
    <w:rsid w:val="0054172B"/>
    <w:rsid w:val="00592615"/>
    <w:rsid w:val="00594E0E"/>
    <w:rsid w:val="005C26EC"/>
    <w:rsid w:val="005C5007"/>
    <w:rsid w:val="005D055D"/>
    <w:rsid w:val="005D2401"/>
    <w:rsid w:val="005D3B22"/>
    <w:rsid w:val="00602F34"/>
    <w:rsid w:val="00615F92"/>
    <w:rsid w:val="0062271A"/>
    <w:rsid w:val="006239E8"/>
    <w:rsid w:val="0064536A"/>
    <w:rsid w:val="006565C0"/>
    <w:rsid w:val="00662D23"/>
    <w:rsid w:val="006636CA"/>
    <w:rsid w:val="00677E55"/>
    <w:rsid w:val="00690C3F"/>
    <w:rsid w:val="006963B3"/>
    <w:rsid w:val="006A1CEA"/>
    <w:rsid w:val="006C2C7E"/>
    <w:rsid w:val="006C5824"/>
    <w:rsid w:val="006C61F1"/>
    <w:rsid w:val="006D6E39"/>
    <w:rsid w:val="006E3827"/>
    <w:rsid w:val="006E5265"/>
    <w:rsid w:val="00707394"/>
    <w:rsid w:val="00723EBB"/>
    <w:rsid w:val="00734124"/>
    <w:rsid w:val="00751578"/>
    <w:rsid w:val="0075203E"/>
    <w:rsid w:val="007802F4"/>
    <w:rsid w:val="007A0282"/>
    <w:rsid w:val="007F1DCD"/>
    <w:rsid w:val="007F6CC8"/>
    <w:rsid w:val="00804616"/>
    <w:rsid w:val="008141F9"/>
    <w:rsid w:val="008202CC"/>
    <w:rsid w:val="008413B9"/>
    <w:rsid w:val="00856799"/>
    <w:rsid w:val="008642DC"/>
    <w:rsid w:val="00890743"/>
    <w:rsid w:val="00894377"/>
    <w:rsid w:val="008D17B2"/>
    <w:rsid w:val="008E3A8F"/>
    <w:rsid w:val="008F538D"/>
    <w:rsid w:val="008F6335"/>
    <w:rsid w:val="00921638"/>
    <w:rsid w:val="00926DC9"/>
    <w:rsid w:val="0093114C"/>
    <w:rsid w:val="009508EC"/>
    <w:rsid w:val="00951535"/>
    <w:rsid w:val="00976DB7"/>
    <w:rsid w:val="00997E34"/>
    <w:rsid w:val="009C2C07"/>
    <w:rsid w:val="009F18C6"/>
    <w:rsid w:val="009F687A"/>
    <w:rsid w:val="00A2327B"/>
    <w:rsid w:val="00A52F64"/>
    <w:rsid w:val="00A9399B"/>
    <w:rsid w:val="00AA0C0A"/>
    <w:rsid w:val="00AB7EFC"/>
    <w:rsid w:val="00AC2999"/>
    <w:rsid w:val="00AC2B90"/>
    <w:rsid w:val="00AF5258"/>
    <w:rsid w:val="00AF64E1"/>
    <w:rsid w:val="00B02B78"/>
    <w:rsid w:val="00B213D4"/>
    <w:rsid w:val="00B32E35"/>
    <w:rsid w:val="00B67B91"/>
    <w:rsid w:val="00B84C5C"/>
    <w:rsid w:val="00B92DF1"/>
    <w:rsid w:val="00BC738D"/>
    <w:rsid w:val="00C00BBC"/>
    <w:rsid w:val="00C07A2B"/>
    <w:rsid w:val="00C4147C"/>
    <w:rsid w:val="00C5325F"/>
    <w:rsid w:val="00C56A6E"/>
    <w:rsid w:val="00C602AB"/>
    <w:rsid w:val="00C67A02"/>
    <w:rsid w:val="00C838F2"/>
    <w:rsid w:val="00CA20F0"/>
    <w:rsid w:val="00CB5CE0"/>
    <w:rsid w:val="00CC0088"/>
    <w:rsid w:val="00CC21A9"/>
    <w:rsid w:val="00CD52AC"/>
    <w:rsid w:val="00CF0DAC"/>
    <w:rsid w:val="00D1766B"/>
    <w:rsid w:val="00D301A6"/>
    <w:rsid w:val="00D522F5"/>
    <w:rsid w:val="00D54F5C"/>
    <w:rsid w:val="00D57B95"/>
    <w:rsid w:val="00DA4108"/>
    <w:rsid w:val="00DA424E"/>
    <w:rsid w:val="00DD33E4"/>
    <w:rsid w:val="00DE6C08"/>
    <w:rsid w:val="00DF620A"/>
    <w:rsid w:val="00E26719"/>
    <w:rsid w:val="00E363C4"/>
    <w:rsid w:val="00E476EC"/>
    <w:rsid w:val="00E61E1F"/>
    <w:rsid w:val="00E6659A"/>
    <w:rsid w:val="00E82B73"/>
    <w:rsid w:val="00EA6E71"/>
    <w:rsid w:val="00EC3FCE"/>
    <w:rsid w:val="00ED38A7"/>
    <w:rsid w:val="00EF0CAF"/>
    <w:rsid w:val="00F42A14"/>
    <w:rsid w:val="00F64CE2"/>
    <w:rsid w:val="00F718D2"/>
    <w:rsid w:val="00F835D1"/>
    <w:rsid w:val="00FA041B"/>
    <w:rsid w:val="00FC1477"/>
    <w:rsid w:val="00FE3F8A"/>
    <w:rsid w:val="00FE7B1A"/>
    <w:rsid w:val="00FF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6206"/>
  <w15:chartTrackingRefBased/>
  <w15:docId w15:val="{7474D6E3-EC02-4B08-9BF1-94FC1C87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D1"/>
    <w:rPr>
      <w:color w:val="0563C1" w:themeColor="hyperlink"/>
      <w:u w:val="single"/>
    </w:rPr>
  </w:style>
  <w:style w:type="character" w:customStyle="1" w:styleId="UnresolvedMention1">
    <w:name w:val="Unresolved Mention1"/>
    <w:basedOn w:val="DefaultParagraphFont"/>
    <w:uiPriority w:val="99"/>
    <w:semiHidden/>
    <w:unhideWhenUsed/>
    <w:rsid w:val="00F835D1"/>
    <w:rPr>
      <w:color w:val="605E5C"/>
      <w:shd w:val="clear" w:color="auto" w:fill="E1DFDD"/>
    </w:rPr>
  </w:style>
  <w:style w:type="character" w:styleId="FollowedHyperlink">
    <w:name w:val="FollowedHyperlink"/>
    <w:basedOn w:val="DefaultParagraphFont"/>
    <w:uiPriority w:val="99"/>
    <w:semiHidden/>
    <w:unhideWhenUsed/>
    <w:rsid w:val="00E363C4"/>
    <w:rPr>
      <w:color w:val="954F72" w:themeColor="followedHyperlink"/>
      <w:u w:val="single"/>
    </w:rPr>
  </w:style>
  <w:style w:type="paragraph" w:styleId="ListParagraph">
    <w:name w:val="List Paragraph"/>
    <w:basedOn w:val="Normal"/>
    <w:uiPriority w:val="34"/>
    <w:qFormat/>
    <w:rsid w:val="008141F9"/>
    <w:pPr>
      <w:ind w:left="720"/>
      <w:contextualSpacing/>
    </w:pPr>
  </w:style>
  <w:style w:type="paragraph" w:styleId="FootnoteText">
    <w:name w:val="footnote text"/>
    <w:basedOn w:val="Normal"/>
    <w:link w:val="FootnoteTextChar"/>
    <w:uiPriority w:val="99"/>
    <w:semiHidden/>
    <w:unhideWhenUsed/>
    <w:rsid w:val="00C83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8F2"/>
    <w:rPr>
      <w:sz w:val="20"/>
      <w:szCs w:val="20"/>
    </w:rPr>
  </w:style>
  <w:style w:type="character" w:styleId="FootnoteReference">
    <w:name w:val="footnote reference"/>
    <w:basedOn w:val="DefaultParagraphFont"/>
    <w:uiPriority w:val="99"/>
    <w:semiHidden/>
    <w:unhideWhenUsed/>
    <w:rsid w:val="00C838F2"/>
    <w:rPr>
      <w:vertAlign w:val="superscript"/>
    </w:rPr>
  </w:style>
  <w:style w:type="paragraph" w:styleId="Header">
    <w:name w:val="header"/>
    <w:basedOn w:val="Normal"/>
    <w:link w:val="HeaderChar"/>
    <w:uiPriority w:val="99"/>
    <w:unhideWhenUsed/>
    <w:rsid w:val="003E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64"/>
  </w:style>
  <w:style w:type="paragraph" w:styleId="Footer">
    <w:name w:val="footer"/>
    <w:basedOn w:val="Normal"/>
    <w:link w:val="FooterChar"/>
    <w:uiPriority w:val="99"/>
    <w:unhideWhenUsed/>
    <w:rsid w:val="003E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64"/>
  </w:style>
  <w:style w:type="character" w:styleId="CommentReference">
    <w:name w:val="annotation reference"/>
    <w:basedOn w:val="DefaultParagraphFont"/>
    <w:uiPriority w:val="99"/>
    <w:semiHidden/>
    <w:unhideWhenUsed/>
    <w:rsid w:val="00DD33E4"/>
    <w:rPr>
      <w:sz w:val="16"/>
      <w:szCs w:val="16"/>
    </w:rPr>
  </w:style>
  <w:style w:type="paragraph" w:styleId="CommentText">
    <w:name w:val="annotation text"/>
    <w:basedOn w:val="Normal"/>
    <w:link w:val="CommentTextChar"/>
    <w:uiPriority w:val="99"/>
    <w:semiHidden/>
    <w:unhideWhenUsed/>
    <w:rsid w:val="00DD33E4"/>
    <w:pPr>
      <w:spacing w:line="240" w:lineRule="auto"/>
    </w:pPr>
    <w:rPr>
      <w:sz w:val="20"/>
      <w:szCs w:val="20"/>
    </w:rPr>
  </w:style>
  <w:style w:type="character" w:customStyle="1" w:styleId="CommentTextChar">
    <w:name w:val="Comment Text Char"/>
    <w:basedOn w:val="DefaultParagraphFont"/>
    <w:link w:val="CommentText"/>
    <w:uiPriority w:val="99"/>
    <w:semiHidden/>
    <w:rsid w:val="00DD33E4"/>
    <w:rPr>
      <w:sz w:val="20"/>
      <w:szCs w:val="20"/>
    </w:rPr>
  </w:style>
  <w:style w:type="paragraph" w:styleId="CommentSubject">
    <w:name w:val="annotation subject"/>
    <w:basedOn w:val="CommentText"/>
    <w:next w:val="CommentText"/>
    <w:link w:val="CommentSubjectChar"/>
    <w:uiPriority w:val="99"/>
    <w:semiHidden/>
    <w:unhideWhenUsed/>
    <w:rsid w:val="00DD33E4"/>
    <w:rPr>
      <w:b/>
      <w:bCs/>
    </w:rPr>
  </w:style>
  <w:style w:type="character" w:customStyle="1" w:styleId="CommentSubjectChar">
    <w:name w:val="Comment Subject Char"/>
    <w:basedOn w:val="CommentTextChar"/>
    <w:link w:val="CommentSubject"/>
    <w:uiPriority w:val="99"/>
    <w:semiHidden/>
    <w:rsid w:val="00DD33E4"/>
    <w:rPr>
      <w:b/>
      <w:bCs/>
      <w:sz w:val="20"/>
      <w:szCs w:val="20"/>
    </w:rPr>
  </w:style>
  <w:style w:type="paragraph" w:styleId="BalloonText">
    <w:name w:val="Balloon Text"/>
    <w:basedOn w:val="Normal"/>
    <w:link w:val="BalloonTextChar"/>
    <w:uiPriority w:val="99"/>
    <w:semiHidden/>
    <w:unhideWhenUsed/>
    <w:rsid w:val="00D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E4"/>
    <w:rPr>
      <w:rFonts w:ascii="Segoe UI" w:hAnsi="Segoe UI" w:cs="Segoe UI"/>
      <w:sz w:val="18"/>
      <w:szCs w:val="18"/>
    </w:rPr>
  </w:style>
  <w:style w:type="paragraph" w:styleId="EndnoteText">
    <w:name w:val="endnote text"/>
    <w:basedOn w:val="Normal"/>
    <w:link w:val="EndnoteTextChar"/>
    <w:uiPriority w:val="99"/>
    <w:semiHidden/>
    <w:unhideWhenUsed/>
    <w:rsid w:val="00707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394"/>
    <w:rPr>
      <w:sz w:val="20"/>
      <w:szCs w:val="20"/>
    </w:rPr>
  </w:style>
  <w:style w:type="character" w:styleId="EndnoteReference">
    <w:name w:val="endnote reference"/>
    <w:basedOn w:val="DefaultParagraphFont"/>
    <w:uiPriority w:val="99"/>
    <w:semiHidden/>
    <w:unhideWhenUsed/>
    <w:rsid w:val="00707394"/>
    <w:rPr>
      <w:vertAlign w:val="superscript"/>
    </w:rPr>
  </w:style>
  <w:style w:type="character" w:customStyle="1" w:styleId="UnresolvedMention2">
    <w:name w:val="Unresolved Mention2"/>
    <w:basedOn w:val="DefaultParagraphFont"/>
    <w:uiPriority w:val="99"/>
    <w:semiHidden/>
    <w:unhideWhenUsed/>
    <w:rsid w:val="00E6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335">
      <w:bodyDiv w:val="1"/>
      <w:marLeft w:val="0"/>
      <w:marRight w:val="0"/>
      <w:marTop w:val="0"/>
      <w:marBottom w:val="0"/>
      <w:divBdr>
        <w:top w:val="none" w:sz="0" w:space="0" w:color="auto"/>
        <w:left w:val="none" w:sz="0" w:space="0" w:color="auto"/>
        <w:bottom w:val="none" w:sz="0" w:space="0" w:color="auto"/>
        <w:right w:val="none" w:sz="0" w:space="0" w:color="auto"/>
      </w:divBdr>
    </w:div>
    <w:div w:id="10999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mmission/sites/beta-political/files/data-protection-factsheet-changes_en.pdf" TargetMode="External"/><Relationship Id="rId18" Type="http://schemas.openxmlformats.org/officeDocument/2006/relationships/hyperlink" Target="https://uk.practicallaw.thomsonreuters.com/6-502-0467?transitionType=Default&amp;contextData=(sc.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guardian.com/news/2018/mar/17/cambridge-analytica-facebook-influence-us-election" TargetMode="External"/><Relationship Id="rId17" Type="http://schemas.openxmlformats.org/officeDocument/2006/relationships/hyperlink" Target="https://superdiversity.net/2018/05/16/is-anthropology-legal/" TargetMode="External"/><Relationship Id="rId2" Type="http://schemas.openxmlformats.org/officeDocument/2006/relationships/customXml" Target="../customXml/item2.xml"/><Relationship Id="rId16" Type="http://schemas.openxmlformats.org/officeDocument/2006/relationships/hyperlink" Target="https://gdpr.eu/article-83-conditions-for-imposing-administrative-f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sa.org/downloads/Joint%20ASA%20BSA%20ESA%20RGS%20statement%200418.pdf" TargetMode="External"/><Relationship Id="rId5" Type="http://schemas.openxmlformats.org/officeDocument/2006/relationships/numbering" Target="numbering.xml"/><Relationship Id="rId15" Type="http://schemas.openxmlformats.org/officeDocument/2006/relationships/hyperlink" Target="https://gdpr.eu/eu-gdpr-personal-da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search/participants/data/ref/h2020/grants_manual/amga/h2020-amga_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horizon2020/en/what-horiz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F5E64A2D4614CB037EFDF10FB850A" ma:contentTypeVersion="13" ma:contentTypeDescription="Create a new document." ma:contentTypeScope="" ma:versionID="4b330ff3f966d7384c7a9fc4d424d782">
  <xsd:schema xmlns:xsd="http://www.w3.org/2001/XMLSchema" xmlns:xs="http://www.w3.org/2001/XMLSchema" xmlns:p="http://schemas.microsoft.com/office/2006/metadata/properties" xmlns:ns3="0cb386ff-0b6b-442f-b3ab-e87026f1df90" xmlns:ns4="89fa6c78-12d7-48a9-97bf-8fa4bf8bd730" targetNamespace="http://schemas.microsoft.com/office/2006/metadata/properties" ma:root="true" ma:fieldsID="4f03e6e5ad3ec3ac1a00e85ed14b55f0" ns3:_="" ns4:_="">
    <xsd:import namespace="0cb386ff-0b6b-442f-b3ab-e87026f1df90"/>
    <xsd:import namespace="89fa6c78-12d7-48a9-97bf-8fa4bf8bd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386ff-0b6b-442f-b3ab-e87026f1d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a6c78-12d7-48a9-97bf-8fa4bf8bd7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F03F-1CFB-4546-9704-D8D77DDC7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91C8D-8809-47BA-B889-678EDBBAF784}">
  <ds:schemaRefs>
    <ds:schemaRef ds:uri="http://schemas.microsoft.com/sharepoint/v3/contenttype/forms"/>
  </ds:schemaRefs>
</ds:datastoreItem>
</file>

<file path=customXml/itemProps3.xml><?xml version="1.0" encoding="utf-8"?>
<ds:datastoreItem xmlns:ds="http://schemas.openxmlformats.org/officeDocument/2006/customXml" ds:itemID="{83AC4F31-0E8A-4F7E-B231-3170B484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386ff-0b6b-442f-b3ab-e87026f1df90"/>
    <ds:schemaRef ds:uri="89fa6c78-12d7-48a9-97bf-8fa4bf8b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3AD44-6A22-4712-A9B6-BDF045B5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Cant</dc:creator>
  <cp:keywords/>
  <dc:description/>
  <cp:lastModifiedBy>Alanna Cant</cp:lastModifiedBy>
  <cp:revision>14</cp:revision>
  <dcterms:created xsi:type="dcterms:W3CDTF">2020-09-14T07:41:00Z</dcterms:created>
  <dcterms:modified xsi:type="dcterms:W3CDTF">2020-09-14T07:51:00Z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0x010100090F5E64A2D4614CB037EFDF10FB850A</vt:lpwstr>
  </property>
</Properties>
</file>