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2BDE" w14:textId="11FCFBD3" w:rsidR="00984F82" w:rsidRDefault="000424A1" w:rsidP="00CC3CC3">
      <w:pPr>
        <w:pStyle w:val="Heading1"/>
        <w:rPr>
          <w:lang w:val="en-GB"/>
        </w:rPr>
      </w:pPr>
      <w:r w:rsidRPr="00F42E76">
        <w:rPr>
          <w:lang w:val="en-GB"/>
        </w:rPr>
        <w:t xml:space="preserve">The </w:t>
      </w:r>
      <w:r w:rsidR="00142935" w:rsidRPr="00F42E76">
        <w:rPr>
          <w:lang w:val="en-GB"/>
        </w:rPr>
        <w:t>P</w:t>
      </w:r>
      <w:r w:rsidRPr="00F42E76">
        <w:rPr>
          <w:lang w:val="en-GB"/>
        </w:rPr>
        <w:t xml:space="preserve">olitics of </w:t>
      </w:r>
      <w:r w:rsidR="00142935" w:rsidRPr="00F42E76">
        <w:rPr>
          <w:lang w:val="en-GB"/>
        </w:rPr>
        <w:t>C</w:t>
      </w:r>
      <w:r w:rsidR="00C920A3" w:rsidRPr="00F42E76">
        <w:rPr>
          <w:lang w:val="en-GB"/>
        </w:rPr>
        <w:t>raft</w:t>
      </w:r>
      <w:r w:rsidRPr="00F42E76">
        <w:rPr>
          <w:lang w:val="en-GB"/>
        </w:rPr>
        <w:t xml:space="preserve"> and </w:t>
      </w:r>
      <w:r w:rsidR="00142935" w:rsidRPr="00F42E76">
        <w:rPr>
          <w:lang w:val="en-GB"/>
        </w:rPr>
        <w:t>W</w:t>
      </w:r>
      <w:r w:rsidR="0096029C" w:rsidRPr="00F42E76">
        <w:rPr>
          <w:lang w:val="en-GB"/>
        </w:rPr>
        <w:t>ork</w:t>
      </w:r>
      <w:r w:rsidR="006647B5" w:rsidRPr="00F42E76">
        <w:rPr>
          <w:lang w:val="en-GB"/>
        </w:rPr>
        <w:t xml:space="preserve">ing </w:t>
      </w:r>
      <w:r w:rsidR="00142935" w:rsidRPr="00F42E76">
        <w:rPr>
          <w:lang w:val="en-GB"/>
        </w:rPr>
        <w:t>W</w:t>
      </w:r>
      <w:r w:rsidR="006647B5" w:rsidRPr="00F42E76">
        <w:rPr>
          <w:lang w:val="en-GB"/>
        </w:rPr>
        <w:t xml:space="preserve">ithout </w:t>
      </w:r>
      <w:r w:rsidR="00142935" w:rsidRPr="00F42E76">
        <w:rPr>
          <w:lang w:val="en-GB"/>
        </w:rPr>
        <w:t>S</w:t>
      </w:r>
      <w:r w:rsidR="006647B5" w:rsidRPr="00F42E76">
        <w:rPr>
          <w:lang w:val="en-GB"/>
        </w:rPr>
        <w:t>kill</w:t>
      </w:r>
      <w:r w:rsidR="003E40FD" w:rsidRPr="00F42E76">
        <w:rPr>
          <w:lang w:val="en-GB"/>
        </w:rPr>
        <w:t>: reconsidering</w:t>
      </w:r>
      <w:r w:rsidR="00DB1C54" w:rsidRPr="00F42E76">
        <w:rPr>
          <w:lang w:val="en-GB"/>
        </w:rPr>
        <w:t xml:space="preserve"> craftsmanship and</w:t>
      </w:r>
      <w:r w:rsidR="003E40FD" w:rsidRPr="00F42E76">
        <w:rPr>
          <w:lang w:val="en-GB"/>
        </w:rPr>
        <w:t xml:space="preserve"> the community of practice</w:t>
      </w:r>
      <w:r w:rsidR="00984F82">
        <w:rPr>
          <w:lang w:val="en-GB"/>
        </w:rPr>
        <w:t xml:space="preserve">. In </w:t>
      </w:r>
      <w:r w:rsidR="00984F82">
        <w:rPr>
          <w:i/>
          <w:iCs/>
          <w:lang w:val="en-GB"/>
        </w:rPr>
        <w:t xml:space="preserve">Craft is Political: </w:t>
      </w:r>
      <w:r w:rsidR="00984F82" w:rsidRPr="00984F82">
        <w:rPr>
          <w:i/>
          <w:iCs/>
          <w:lang w:val="en-GB"/>
        </w:rPr>
        <w:t>Economic, Social and Technological Contexts</w:t>
      </w:r>
      <w:r w:rsidR="00984F82">
        <w:rPr>
          <w:lang w:val="en-GB"/>
        </w:rPr>
        <w:t>, edited by D. Wood. London: Bloomsbury</w:t>
      </w:r>
      <w:bookmarkStart w:id="0" w:name="_GoBack"/>
      <w:bookmarkEnd w:id="0"/>
    </w:p>
    <w:p w14:paraId="26BD5038" w14:textId="7287A74E" w:rsidR="0096029C" w:rsidRPr="00F42E76" w:rsidRDefault="00382749" w:rsidP="00CC3CC3">
      <w:pPr>
        <w:pStyle w:val="Heading1"/>
        <w:rPr>
          <w:lang w:val="en-GB"/>
        </w:rPr>
      </w:pPr>
      <w:r>
        <w:rPr>
          <w:lang w:val="en-GB"/>
        </w:rPr>
        <w:t>Alanna Cant</w:t>
      </w:r>
    </w:p>
    <w:p w14:paraId="47BB2DD0" w14:textId="77777777" w:rsidR="00142935" w:rsidRPr="00F42E76" w:rsidRDefault="00DB1C54" w:rsidP="00FE7669">
      <w:pPr>
        <w:tabs>
          <w:tab w:val="left" w:pos="7640"/>
        </w:tabs>
        <w:rPr>
          <w:sz w:val="28"/>
          <w:szCs w:val="28"/>
        </w:rPr>
      </w:pPr>
      <w:r w:rsidRPr="00F42E76">
        <w:rPr>
          <w:sz w:val="28"/>
          <w:szCs w:val="28"/>
        </w:rPr>
        <w:tab/>
      </w:r>
    </w:p>
    <w:p w14:paraId="72D96A9D" w14:textId="6A258FD3" w:rsidR="006236E2" w:rsidRPr="00F42E76" w:rsidRDefault="000A0568" w:rsidP="000A0568">
      <w:pPr>
        <w:spacing w:line="480" w:lineRule="auto"/>
        <w:rPr>
          <w:sz w:val="24"/>
          <w:szCs w:val="24"/>
        </w:rPr>
      </w:pPr>
      <w:r w:rsidRPr="00F42E76">
        <w:rPr>
          <w:sz w:val="24"/>
          <w:szCs w:val="24"/>
        </w:rPr>
        <w:t>These days, “artisan</w:t>
      </w:r>
      <w:r w:rsidR="005F69E4" w:rsidRPr="00F42E76">
        <w:rPr>
          <w:sz w:val="24"/>
          <w:szCs w:val="24"/>
        </w:rPr>
        <w:t>al</w:t>
      </w:r>
      <w:r w:rsidRPr="00F42E76">
        <w:rPr>
          <w:sz w:val="24"/>
          <w:szCs w:val="24"/>
        </w:rPr>
        <w:t>”</w:t>
      </w:r>
      <w:r w:rsidR="002D4810" w:rsidRPr="00F42E76">
        <w:rPr>
          <w:sz w:val="24"/>
          <w:szCs w:val="24"/>
        </w:rPr>
        <w:t xml:space="preserve"> and “craft” are</w:t>
      </w:r>
      <w:r w:rsidRPr="00F42E76">
        <w:rPr>
          <w:sz w:val="24"/>
          <w:szCs w:val="24"/>
        </w:rPr>
        <w:t xml:space="preserve"> everywhere</w:t>
      </w:r>
      <w:r w:rsidR="006828B5" w:rsidRPr="00F42E76">
        <w:rPr>
          <w:sz w:val="24"/>
          <w:szCs w:val="24"/>
        </w:rPr>
        <w:t>.</w:t>
      </w:r>
      <w:r w:rsidR="009D43D4" w:rsidRPr="00F42E76">
        <w:rPr>
          <w:sz w:val="24"/>
          <w:szCs w:val="24"/>
        </w:rPr>
        <w:t xml:space="preserve"> From </w:t>
      </w:r>
      <w:r w:rsidR="00325111" w:rsidRPr="00F42E76">
        <w:rPr>
          <w:sz w:val="24"/>
          <w:szCs w:val="24"/>
        </w:rPr>
        <w:t>cheese and beer to beauty products and landscaping services, in contemporary North American and Western European markets</w:t>
      </w:r>
      <w:r w:rsidR="005F69E4" w:rsidRPr="00F42E76">
        <w:rPr>
          <w:sz w:val="24"/>
          <w:szCs w:val="24"/>
        </w:rPr>
        <w:t>,</w:t>
      </w:r>
      <w:r w:rsidR="00B07123" w:rsidRPr="00F42E76">
        <w:rPr>
          <w:sz w:val="24"/>
          <w:szCs w:val="24"/>
        </w:rPr>
        <w:t xml:space="preserve"> </w:t>
      </w:r>
      <w:r w:rsidR="002D4810" w:rsidRPr="00F42E76">
        <w:rPr>
          <w:sz w:val="24"/>
          <w:szCs w:val="24"/>
        </w:rPr>
        <w:t>the</w:t>
      </w:r>
      <w:r w:rsidR="00325111" w:rsidRPr="00F42E76">
        <w:rPr>
          <w:sz w:val="24"/>
          <w:szCs w:val="24"/>
        </w:rPr>
        <w:t>se words</w:t>
      </w:r>
      <w:r w:rsidR="005F69E4" w:rsidRPr="00F42E76">
        <w:rPr>
          <w:sz w:val="24"/>
          <w:szCs w:val="24"/>
        </w:rPr>
        <w:t xml:space="preserve"> now</w:t>
      </w:r>
      <w:r w:rsidR="00B07123" w:rsidRPr="00F42E76">
        <w:rPr>
          <w:sz w:val="24"/>
          <w:szCs w:val="24"/>
        </w:rPr>
        <w:t xml:space="preserve"> function as </w:t>
      </w:r>
      <w:r w:rsidR="002D4810" w:rsidRPr="00F42E76">
        <w:rPr>
          <w:sz w:val="24"/>
          <w:szCs w:val="24"/>
        </w:rPr>
        <w:t xml:space="preserve">a shorthand </w:t>
      </w:r>
      <w:r w:rsidR="005F69E4" w:rsidRPr="00F42E76">
        <w:rPr>
          <w:sz w:val="24"/>
          <w:szCs w:val="24"/>
        </w:rPr>
        <w:t xml:space="preserve">to </w:t>
      </w:r>
      <w:r w:rsidR="00C1578B" w:rsidRPr="00F42E76">
        <w:rPr>
          <w:sz w:val="24"/>
          <w:szCs w:val="24"/>
        </w:rPr>
        <w:t xml:space="preserve">indicate </w:t>
      </w:r>
      <w:r w:rsidR="005F69E4" w:rsidRPr="00F42E76">
        <w:rPr>
          <w:sz w:val="24"/>
          <w:szCs w:val="24"/>
        </w:rPr>
        <w:t xml:space="preserve">goods </w:t>
      </w:r>
      <w:r w:rsidR="006828B5" w:rsidRPr="00F42E76">
        <w:rPr>
          <w:sz w:val="24"/>
          <w:szCs w:val="24"/>
        </w:rPr>
        <w:t xml:space="preserve">that are ostensibly </w:t>
      </w:r>
      <w:r w:rsidR="00C1578B" w:rsidRPr="00F42E76">
        <w:rPr>
          <w:sz w:val="24"/>
          <w:szCs w:val="24"/>
        </w:rPr>
        <w:t>made in less mechani</w:t>
      </w:r>
      <w:r w:rsidR="00F10A58" w:rsidRPr="00F42E76">
        <w:rPr>
          <w:sz w:val="24"/>
          <w:szCs w:val="24"/>
        </w:rPr>
        <w:t>s</w:t>
      </w:r>
      <w:r w:rsidR="00C1578B" w:rsidRPr="00F42E76">
        <w:rPr>
          <w:sz w:val="24"/>
          <w:szCs w:val="24"/>
        </w:rPr>
        <w:t>ed forms of production than</w:t>
      </w:r>
      <w:r w:rsidR="006828B5" w:rsidRPr="00F42E76">
        <w:rPr>
          <w:sz w:val="24"/>
          <w:szCs w:val="24"/>
        </w:rPr>
        <w:t xml:space="preserve"> their </w:t>
      </w:r>
      <w:r w:rsidR="00F42E76" w:rsidRPr="00F42E76">
        <w:rPr>
          <w:sz w:val="24"/>
          <w:szCs w:val="24"/>
        </w:rPr>
        <w:t>industrially produced</w:t>
      </w:r>
      <w:r w:rsidR="006828B5" w:rsidRPr="00F42E76">
        <w:rPr>
          <w:sz w:val="24"/>
          <w:szCs w:val="24"/>
        </w:rPr>
        <w:t xml:space="preserve"> equivalents.</w:t>
      </w:r>
      <w:r w:rsidR="00913066">
        <w:rPr>
          <w:rStyle w:val="EndnoteReference"/>
          <w:sz w:val="24"/>
          <w:szCs w:val="24"/>
        </w:rPr>
        <w:endnoteReference w:id="1"/>
      </w:r>
      <w:r w:rsidR="006828B5" w:rsidRPr="00F42E76">
        <w:rPr>
          <w:sz w:val="24"/>
          <w:szCs w:val="24"/>
        </w:rPr>
        <w:t xml:space="preserve"> Although the exact measure of </w:t>
      </w:r>
      <w:r w:rsidR="009955E3" w:rsidRPr="00F42E76">
        <w:rPr>
          <w:sz w:val="24"/>
          <w:szCs w:val="24"/>
        </w:rPr>
        <w:t>artisanal objects’</w:t>
      </w:r>
      <w:r w:rsidR="003E40FD" w:rsidRPr="00F42E76">
        <w:rPr>
          <w:sz w:val="24"/>
          <w:szCs w:val="24"/>
        </w:rPr>
        <w:t xml:space="preserve"> “handmade-ness” is highly variable</w:t>
      </w:r>
      <w:r w:rsidR="002D4810" w:rsidRPr="00F42E76">
        <w:rPr>
          <w:sz w:val="24"/>
          <w:szCs w:val="24"/>
        </w:rPr>
        <w:t xml:space="preserve"> and often impossible to determine</w:t>
      </w:r>
      <w:r w:rsidR="003E40FD" w:rsidRPr="00F42E76">
        <w:rPr>
          <w:sz w:val="24"/>
          <w:szCs w:val="24"/>
        </w:rPr>
        <w:t>, the ability to position one’s product as artisanally produced is lucrative in the 21</w:t>
      </w:r>
      <w:r w:rsidR="003E40FD" w:rsidRPr="00F42E76">
        <w:rPr>
          <w:sz w:val="24"/>
          <w:szCs w:val="24"/>
          <w:vertAlign w:val="superscript"/>
        </w:rPr>
        <w:t>st</w:t>
      </w:r>
      <w:r w:rsidR="003E40FD" w:rsidRPr="00F42E76">
        <w:rPr>
          <w:sz w:val="24"/>
          <w:szCs w:val="24"/>
        </w:rPr>
        <w:t xml:space="preserve"> century.</w:t>
      </w:r>
      <w:r w:rsidR="003E40FD" w:rsidRPr="00F42E76">
        <w:rPr>
          <w:rStyle w:val="EndnoteReference"/>
          <w:sz w:val="24"/>
          <w:szCs w:val="24"/>
        </w:rPr>
        <w:endnoteReference w:id="2"/>
      </w:r>
      <w:r w:rsidR="003E40FD" w:rsidRPr="00F42E76">
        <w:rPr>
          <w:sz w:val="24"/>
          <w:szCs w:val="24"/>
        </w:rPr>
        <w:t xml:space="preserve"> </w:t>
      </w:r>
    </w:p>
    <w:p w14:paraId="6BA3C410" w14:textId="77777777" w:rsidR="00AD6E09" w:rsidRPr="00F42E76" w:rsidRDefault="00AD6E09" w:rsidP="000A0568">
      <w:pPr>
        <w:spacing w:line="480" w:lineRule="auto"/>
        <w:rPr>
          <w:sz w:val="24"/>
          <w:szCs w:val="24"/>
        </w:rPr>
      </w:pPr>
    </w:p>
    <w:p w14:paraId="19DBF203" w14:textId="729980BB" w:rsidR="00346B8C" w:rsidRPr="00F42E76" w:rsidRDefault="00E718F0" w:rsidP="000A0568">
      <w:pPr>
        <w:spacing w:line="480" w:lineRule="auto"/>
        <w:rPr>
          <w:sz w:val="24"/>
          <w:szCs w:val="24"/>
        </w:rPr>
      </w:pPr>
      <w:r w:rsidRPr="00F42E76">
        <w:rPr>
          <w:sz w:val="24"/>
          <w:szCs w:val="24"/>
        </w:rPr>
        <w:t>Th</w:t>
      </w:r>
      <w:r w:rsidR="006A6DDC" w:rsidRPr="00F42E76">
        <w:rPr>
          <w:sz w:val="24"/>
          <w:szCs w:val="24"/>
        </w:rPr>
        <w:t>e</w:t>
      </w:r>
      <w:r w:rsidRPr="00F42E76">
        <w:rPr>
          <w:sz w:val="24"/>
          <w:szCs w:val="24"/>
        </w:rPr>
        <w:t xml:space="preserve"> renewed interest in craftwork</w:t>
      </w:r>
      <w:r w:rsidR="001977C1" w:rsidRPr="00F42E76">
        <w:rPr>
          <w:sz w:val="24"/>
          <w:szCs w:val="24"/>
        </w:rPr>
        <w:t xml:space="preserve"> is driven by </w:t>
      </w:r>
      <w:r w:rsidRPr="00F42E76">
        <w:rPr>
          <w:sz w:val="24"/>
          <w:szCs w:val="24"/>
        </w:rPr>
        <w:t>particular emergent upper-middle class</w:t>
      </w:r>
      <w:r w:rsidR="001977C1" w:rsidRPr="00F42E76">
        <w:rPr>
          <w:sz w:val="24"/>
          <w:szCs w:val="24"/>
        </w:rPr>
        <w:t xml:space="preserve"> dispositions</w:t>
      </w:r>
      <w:r w:rsidRPr="00F42E76">
        <w:rPr>
          <w:sz w:val="24"/>
          <w:szCs w:val="24"/>
        </w:rPr>
        <w:t xml:space="preserve"> that lightly critique</w:t>
      </w:r>
      <w:r w:rsidR="00DD4D20" w:rsidRPr="00F42E76">
        <w:rPr>
          <w:sz w:val="24"/>
          <w:szCs w:val="24"/>
        </w:rPr>
        <w:t xml:space="preserve"> – </w:t>
      </w:r>
      <w:r w:rsidRPr="00F42E76">
        <w:rPr>
          <w:sz w:val="24"/>
          <w:szCs w:val="24"/>
        </w:rPr>
        <w:t>but do not rejec</w:t>
      </w:r>
      <w:r w:rsidR="00DD4D20" w:rsidRPr="00F42E76">
        <w:rPr>
          <w:sz w:val="24"/>
          <w:szCs w:val="24"/>
        </w:rPr>
        <w:t xml:space="preserve">t – industrial </w:t>
      </w:r>
      <w:r w:rsidRPr="00F42E76">
        <w:rPr>
          <w:sz w:val="24"/>
          <w:szCs w:val="24"/>
        </w:rPr>
        <w:t>capitalism and mass manufacturing.  These dispositions are marked by the cultivation of taste, expertise and aesthetic</w:t>
      </w:r>
      <w:r w:rsidR="00154426" w:rsidRPr="00F42E76">
        <w:rPr>
          <w:sz w:val="24"/>
          <w:szCs w:val="24"/>
        </w:rPr>
        <w:t xml:space="preserve">s </w:t>
      </w:r>
      <w:r w:rsidRPr="00F42E76">
        <w:rPr>
          <w:sz w:val="24"/>
          <w:szCs w:val="24"/>
        </w:rPr>
        <w:t xml:space="preserve">that </w:t>
      </w:r>
      <w:r w:rsidR="001977C1" w:rsidRPr="00F42E76">
        <w:rPr>
          <w:sz w:val="24"/>
          <w:szCs w:val="24"/>
        </w:rPr>
        <w:t>generally</w:t>
      </w:r>
      <w:r w:rsidRPr="00F42E76">
        <w:rPr>
          <w:sz w:val="24"/>
          <w:szCs w:val="24"/>
        </w:rPr>
        <w:t xml:space="preserve"> relate to</w:t>
      </w:r>
      <w:r w:rsidR="00154426" w:rsidRPr="00F42E76">
        <w:rPr>
          <w:sz w:val="24"/>
          <w:szCs w:val="24"/>
        </w:rPr>
        <w:t xml:space="preserve"> </w:t>
      </w:r>
      <w:r w:rsidRPr="00F42E76">
        <w:rPr>
          <w:sz w:val="24"/>
          <w:szCs w:val="24"/>
        </w:rPr>
        <w:t>lifestyle</w:t>
      </w:r>
      <w:r w:rsidR="00154426" w:rsidRPr="00F42E76">
        <w:rPr>
          <w:sz w:val="24"/>
          <w:szCs w:val="24"/>
        </w:rPr>
        <w:t>s and consumption</w:t>
      </w:r>
      <w:r w:rsidRPr="00F42E76">
        <w:rPr>
          <w:sz w:val="24"/>
          <w:szCs w:val="24"/>
        </w:rPr>
        <w:t>, rather than</w:t>
      </w:r>
      <w:r w:rsidR="00BC5D49" w:rsidRPr="00F42E76">
        <w:rPr>
          <w:sz w:val="24"/>
          <w:szCs w:val="24"/>
        </w:rPr>
        <w:t xml:space="preserve"> individuals’</w:t>
      </w:r>
      <w:r w:rsidRPr="00F42E76">
        <w:rPr>
          <w:sz w:val="24"/>
          <w:szCs w:val="24"/>
        </w:rPr>
        <w:t xml:space="preserve"> political or working li</w:t>
      </w:r>
      <w:r w:rsidR="00154426" w:rsidRPr="00F42E76">
        <w:rPr>
          <w:sz w:val="24"/>
          <w:szCs w:val="24"/>
        </w:rPr>
        <w:t>ves</w:t>
      </w:r>
      <w:r w:rsidRPr="00F42E76">
        <w:rPr>
          <w:sz w:val="24"/>
          <w:szCs w:val="24"/>
        </w:rPr>
        <w:t>. At the heart of these perspectives is the implicit and explicit assumption that handmade products necessarily have a high level of quality</w:t>
      </w:r>
      <w:r w:rsidR="00154426" w:rsidRPr="00F42E76">
        <w:rPr>
          <w:sz w:val="24"/>
          <w:szCs w:val="24"/>
        </w:rPr>
        <w:t>,</w:t>
      </w:r>
      <w:r w:rsidRPr="00F42E76">
        <w:rPr>
          <w:sz w:val="24"/>
          <w:szCs w:val="24"/>
        </w:rPr>
        <w:t xml:space="preserve"> </w:t>
      </w:r>
      <w:r w:rsidR="00154426" w:rsidRPr="00F42E76">
        <w:rPr>
          <w:sz w:val="24"/>
          <w:szCs w:val="24"/>
        </w:rPr>
        <w:t>which</w:t>
      </w:r>
      <w:r w:rsidRPr="00F42E76">
        <w:rPr>
          <w:sz w:val="24"/>
          <w:szCs w:val="24"/>
        </w:rPr>
        <w:t xml:space="preserve"> derives from their maker’s </w:t>
      </w:r>
      <w:r w:rsidR="00F42E76" w:rsidRPr="00F42E76">
        <w:rPr>
          <w:sz w:val="24"/>
          <w:szCs w:val="24"/>
        </w:rPr>
        <w:t>skilfulness</w:t>
      </w:r>
      <w:r w:rsidR="00154426" w:rsidRPr="00F42E76">
        <w:rPr>
          <w:sz w:val="24"/>
          <w:szCs w:val="24"/>
        </w:rPr>
        <w:t xml:space="preserve"> and satisfaction with their work, thus making them</w:t>
      </w:r>
      <w:r w:rsidRPr="00F42E76">
        <w:rPr>
          <w:sz w:val="24"/>
          <w:szCs w:val="24"/>
        </w:rPr>
        <w:t xml:space="preserve"> worthy of higher prices.</w:t>
      </w:r>
      <w:r w:rsidR="00154426" w:rsidRPr="00F42E76">
        <w:rPr>
          <w:rStyle w:val="EndnoteReference"/>
          <w:sz w:val="24"/>
          <w:szCs w:val="24"/>
        </w:rPr>
        <w:endnoteReference w:id="3"/>
      </w:r>
    </w:p>
    <w:p w14:paraId="25E02300" w14:textId="77777777" w:rsidR="00346B8C" w:rsidRPr="00F42E76" w:rsidRDefault="00346B8C" w:rsidP="00346B8C">
      <w:pPr>
        <w:spacing w:line="480" w:lineRule="auto"/>
        <w:rPr>
          <w:sz w:val="24"/>
          <w:szCs w:val="24"/>
        </w:rPr>
      </w:pPr>
    </w:p>
    <w:p w14:paraId="7958F473" w14:textId="13EF3EE0" w:rsidR="0011098A" w:rsidRDefault="00346B8C" w:rsidP="00346B8C">
      <w:pPr>
        <w:spacing w:line="480" w:lineRule="auto"/>
        <w:rPr>
          <w:sz w:val="24"/>
          <w:szCs w:val="24"/>
        </w:rPr>
      </w:pPr>
      <w:r w:rsidRPr="00F42E76">
        <w:rPr>
          <w:sz w:val="24"/>
          <w:szCs w:val="24"/>
        </w:rPr>
        <w:lastRenderedPageBreak/>
        <w:t>C</w:t>
      </w:r>
      <w:r w:rsidR="004B2ED0" w:rsidRPr="00F42E76">
        <w:rPr>
          <w:sz w:val="24"/>
          <w:szCs w:val="24"/>
        </w:rPr>
        <w:t>raft, as it is c</w:t>
      </w:r>
      <w:r w:rsidR="00A447ED" w:rsidRPr="00F42E76">
        <w:rPr>
          <w:sz w:val="24"/>
          <w:szCs w:val="24"/>
        </w:rPr>
        <w:t>olloquially</w:t>
      </w:r>
      <w:r w:rsidR="004B2ED0" w:rsidRPr="00F42E76">
        <w:rPr>
          <w:sz w:val="24"/>
          <w:szCs w:val="24"/>
        </w:rPr>
        <w:t xml:space="preserve"> understood</w:t>
      </w:r>
      <w:r w:rsidRPr="00F42E76">
        <w:rPr>
          <w:sz w:val="24"/>
          <w:szCs w:val="24"/>
        </w:rPr>
        <w:t>,</w:t>
      </w:r>
      <w:r w:rsidR="00A46662" w:rsidRPr="00F42E76">
        <w:rPr>
          <w:sz w:val="24"/>
          <w:szCs w:val="24"/>
        </w:rPr>
        <w:t xml:space="preserve"> </w:t>
      </w:r>
      <w:r w:rsidR="004B2ED0" w:rsidRPr="00F42E76">
        <w:rPr>
          <w:sz w:val="24"/>
          <w:szCs w:val="24"/>
        </w:rPr>
        <w:t>is</w:t>
      </w:r>
      <w:r w:rsidR="00C920A3" w:rsidRPr="00F42E76">
        <w:rPr>
          <w:sz w:val="24"/>
          <w:szCs w:val="24"/>
        </w:rPr>
        <w:t xml:space="preserve"> therefore</w:t>
      </w:r>
      <w:r w:rsidR="001B142D" w:rsidRPr="00F42E76">
        <w:rPr>
          <w:sz w:val="24"/>
          <w:szCs w:val="24"/>
        </w:rPr>
        <w:t xml:space="preserve"> intimately connected to a particular </w:t>
      </w:r>
      <w:r w:rsidR="00A46662" w:rsidRPr="00F42E76">
        <w:rPr>
          <w:sz w:val="24"/>
          <w:szCs w:val="24"/>
        </w:rPr>
        <w:t>ethics</w:t>
      </w:r>
      <w:r w:rsidR="00CB2080" w:rsidRPr="00F42E76">
        <w:rPr>
          <w:sz w:val="24"/>
          <w:szCs w:val="24"/>
        </w:rPr>
        <w:t xml:space="preserve"> </w:t>
      </w:r>
      <w:r w:rsidR="00A46662" w:rsidRPr="00F42E76">
        <w:rPr>
          <w:sz w:val="24"/>
          <w:szCs w:val="24"/>
        </w:rPr>
        <w:t>that place</w:t>
      </w:r>
      <w:r w:rsidR="001B142D" w:rsidRPr="00F42E76">
        <w:rPr>
          <w:sz w:val="24"/>
          <w:szCs w:val="24"/>
        </w:rPr>
        <w:t>s</w:t>
      </w:r>
      <w:r w:rsidR="00A46662" w:rsidRPr="00F42E76">
        <w:rPr>
          <w:sz w:val="24"/>
          <w:szCs w:val="24"/>
        </w:rPr>
        <w:t xml:space="preserve"> high value o</w:t>
      </w:r>
      <w:r w:rsidR="00C1578B" w:rsidRPr="00F42E76">
        <w:rPr>
          <w:sz w:val="24"/>
          <w:szCs w:val="24"/>
        </w:rPr>
        <w:t xml:space="preserve">n producers’ </w:t>
      </w:r>
      <w:r w:rsidR="009955E3" w:rsidRPr="00F42E76">
        <w:rPr>
          <w:sz w:val="24"/>
          <w:szCs w:val="24"/>
        </w:rPr>
        <w:t>learned skills</w:t>
      </w:r>
      <w:r w:rsidR="00FE7B49" w:rsidRPr="00F42E76">
        <w:rPr>
          <w:sz w:val="24"/>
          <w:szCs w:val="24"/>
        </w:rPr>
        <w:t xml:space="preserve">, abilities, </w:t>
      </w:r>
      <w:r w:rsidR="00C1578B" w:rsidRPr="00F42E76">
        <w:rPr>
          <w:sz w:val="24"/>
          <w:szCs w:val="24"/>
        </w:rPr>
        <w:t xml:space="preserve">thoughtfulness, </w:t>
      </w:r>
      <w:r w:rsidR="004B2ED0" w:rsidRPr="00F42E76">
        <w:rPr>
          <w:sz w:val="24"/>
          <w:szCs w:val="24"/>
        </w:rPr>
        <w:t xml:space="preserve">and </w:t>
      </w:r>
      <w:r w:rsidR="00154426" w:rsidRPr="00F42E76">
        <w:rPr>
          <w:sz w:val="24"/>
          <w:szCs w:val="24"/>
        </w:rPr>
        <w:t>even pleasure</w:t>
      </w:r>
      <w:r w:rsidR="004B2ED0" w:rsidRPr="00F42E76">
        <w:rPr>
          <w:sz w:val="24"/>
          <w:szCs w:val="24"/>
        </w:rPr>
        <w:t>.</w:t>
      </w:r>
      <w:r w:rsidR="00D61B3A" w:rsidRPr="00F42E76">
        <w:rPr>
          <w:rStyle w:val="EndnoteReference"/>
          <w:sz w:val="24"/>
          <w:szCs w:val="24"/>
        </w:rPr>
        <w:endnoteReference w:id="4"/>
      </w:r>
      <w:r w:rsidR="004B2ED0" w:rsidRPr="00F42E76">
        <w:rPr>
          <w:sz w:val="24"/>
          <w:szCs w:val="24"/>
        </w:rPr>
        <w:t xml:space="preserve"> This ethics is neatly </w:t>
      </w:r>
      <w:r w:rsidRPr="00F42E76">
        <w:rPr>
          <w:sz w:val="24"/>
          <w:szCs w:val="24"/>
        </w:rPr>
        <w:t>illustrated by</w:t>
      </w:r>
      <w:r w:rsidR="004B2ED0" w:rsidRPr="00F42E76">
        <w:rPr>
          <w:sz w:val="24"/>
          <w:szCs w:val="24"/>
        </w:rPr>
        <w:t xml:space="preserve"> the way that we use the term “craftsmanship” to </w:t>
      </w:r>
      <w:r w:rsidRPr="00F42E76">
        <w:rPr>
          <w:sz w:val="24"/>
          <w:szCs w:val="24"/>
        </w:rPr>
        <w:t>indicate precision, mastery and rigo</w:t>
      </w:r>
      <w:r w:rsidR="00F42E76">
        <w:rPr>
          <w:sz w:val="24"/>
          <w:szCs w:val="24"/>
        </w:rPr>
        <w:t>u</w:t>
      </w:r>
      <w:r w:rsidRPr="00F42E76">
        <w:rPr>
          <w:sz w:val="24"/>
          <w:szCs w:val="24"/>
        </w:rPr>
        <w:t>r, rather than</w:t>
      </w:r>
      <w:r w:rsidR="00167A99" w:rsidRPr="00F42E76">
        <w:rPr>
          <w:sz w:val="24"/>
          <w:szCs w:val="24"/>
        </w:rPr>
        <w:t xml:space="preserve"> simply</w:t>
      </w:r>
      <w:r w:rsidRPr="00F42E76">
        <w:rPr>
          <w:sz w:val="24"/>
          <w:szCs w:val="24"/>
        </w:rPr>
        <w:t xml:space="preserve"> the condition of working as a craftsperson, which is what the word </w:t>
      </w:r>
      <w:r w:rsidR="00E6563F" w:rsidRPr="00F42E76">
        <w:rPr>
          <w:sz w:val="24"/>
          <w:szCs w:val="24"/>
        </w:rPr>
        <w:t>grammatically</w:t>
      </w:r>
      <w:r w:rsidRPr="00F42E76">
        <w:rPr>
          <w:sz w:val="24"/>
          <w:szCs w:val="24"/>
        </w:rPr>
        <w:t xml:space="preserve"> suggests.</w:t>
      </w:r>
      <w:r w:rsidR="00E6563F" w:rsidRPr="00F42E76">
        <w:rPr>
          <w:rStyle w:val="EndnoteReference"/>
          <w:sz w:val="24"/>
          <w:szCs w:val="24"/>
        </w:rPr>
        <w:endnoteReference w:id="5"/>
      </w:r>
      <w:r w:rsidR="00E440C7" w:rsidRPr="00F42E76">
        <w:rPr>
          <w:sz w:val="24"/>
          <w:szCs w:val="24"/>
        </w:rPr>
        <w:t xml:space="preserve"> </w:t>
      </w:r>
      <w:r w:rsidR="00E6563F" w:rsidRPr="00F42E76">
        <w:rPr>
          <w:sz w:val="24"/>
          <w:szCs w:val="24"/>
        </w:rPr>
        <w:t xml:space="preserve">I want to </w:t>
      </w:r>
      <w:r w:rsidR="00712FE7" w:rsidRPr="00F42E76">
        <w:rPr>
          <w:sz w:val="24"/>
          <w:szCs w:val="24"/>
        </w:rPr>
        <w:t xml:space="preserve">draw attention to this </w:t>
      </w:r>
      <w:r w:rsidR="00167A99" w:rsidRPr="00F42E76">
        <w:rPr>
          <w:sz w:val="24"/>
          <w:szCs w:val="24"/>
        </w:rPr>
        <w:t>semantic</w:t>
      </w:r>
      <w:r w:rsidR="00E6563F" w:rsidRPr="00F42E76">
        <w:rPr>
          <w:sz w:val="24"/>
          <w:szCs w:val="24"/>
        </w:rPr>
        <w:t xml:space="preserve"> </w:t>
      </w:r>
      <w:r w:rsidR="00712FE7" w:rsidRPr="00F42E76">
        <w:rPr>
          <w:sz w:val="24"/>
          <w:szCs w:val="24"/>
        </w:rPr>
        <w:t xml:space="preserve">shift </w:t>
      </w:r>
      <w:r w:rsidR="00E6563F" w:rsidRPr="00F42E76">
        <w:rPr>
          <w:sz w:val="24"/>
          <w:szCs w:val="24"/>
        </w:rPr>
        <w:t>in this chapter</w:t>
      </w:r>
      <w:r w:rsidR="00712FE7" w:rsidRPr="00F42E76">
        <w:rPr>
          <w:sz w:val="24"/>
          <w:szCs w:val="24"/>
        </w:rPr>
        <w:t>. It</w:t>
      </w:r>
      <w:r w:rsidR="002D7BD9">
        <w:rPr>
          <w:sz w:val="24"/>
          <w:szCs w:val="24"/>
        </w:rPr>
        <w:t xml:space="preserve"> is</w:t>
      </w:r>
      <w:r w:rsidR="00712FE7" w:rsidRPr="00F42E76">
        <w:rPr>
          <w:sz w:val="24"/>
          <w:szCs w:val="24"/>
        </w:rPr>
        <w:t xml:space="preserve"> analytically</w:t>
      </w:r>
      <w:r w:rsidR="00BC5D49" w:rsidRPr="00F42E76">
        <w:rPr>
          <w:sz w:val="24"/>
          <w:szCs w:val="24"/>
        </w:rPr>
        <w:t xml:space="preserve"> </w:t>
      </w:r>
      <w:r w:rsidR="001977C1" w:rsidRPr="00F42E76">
        <w:rPr>
          <w:sz w:val="24"/>
          <w:szCs w:val="24"/>
        </w:rPr>
        <w:t>important</w:t>
      </w:r>
      <w:r w:rsidR="00142935" w:rsidRPr="00F42E76">
        <w:rPr>
          <w:sz w:val="24"/>
          <w:szCs w:val="24"/>
        </w:rPr>
        <w:t xml:space="preserve"> to do so,</w:t>
      </w:r>
      <w:r w:rsidR="00712FE7" w:rsidRPr="00F42E76">
        <w:rPr>
          <w:sz w:val="24"/>
          <w:szCs w:val="24"/>
        </w:rPr>
        <w:t xml:space="preserve"> because</w:t>
      </w:r>
      <w:r w:rsidR="001977C1" w:rsidRPr="00F42E76">
        <w:rPr>
          <w:sz w:val="24"/>
          <w:szCs w:val="24"/>
        </w:rPr>
        <w:t xml:space="preserve"> </w:t>
      </w:r>
      <w:r w:rsidR="00142935" w:rsidRPr="00F42E76">
        <w:rPr>
          <w:sz w:val="24"/>
          <w:szCs w:val="24"/>
        </w:rPr>
        <w:t>th</w:t>
      </w:r>
      <w:r w:rsidR="00A447ED" w:rsidRPr="00F42E76">
        <w:rPr>
          <w:sz w:val="24"/>
          <w:szCs w:val="24"/>
        </w:rPr>
        <w:t>is particular</w:t>
      </w:r>
      <w:r w:rsidR="00142935" w:rsidRPr="00F42E76">
        <w:rPr>
          <w:sz w:val="24"/>
          <w:szCs w:val="24"/>
        </w:rPr>
        <w:t xml:space="preserve"> ethical </w:t>
      </w:r>
      <w:r w:rsidR="00712FE7" w:rsidRPr="00F42E76">
        <w:rPr>
          <w:sz w:val="24"/>
          <w:szCs w:val="24"/>
        </w:rPr>
        <w:t>understanding of craftsmanship has heavily influenced the way that craft scholars imagine the subject of our studies</w:t>
      </w:r>
      <w:r w:rsidR="00A447ED" w:rsidRPr="00F42E76">
        <w:rPr>
          <w:sz w:val="24"/>
          <w:szCs w:val="24"/>
        </w:rPr>
        <w:t>. We too tend to implicitly believe that handmade objects, food and drink are made through more satisfactory and less alienating processes than industrial goods.</w:t>
      </w:r>
      <w:r w:rsidR="00DD0B61" w:rsidRPr="00F42E76">
        <w:rPr>
          <w:sz w:val="24"/>
          <w:szCs w:val="24"/>
        </w:rPr>
        <w:t xml:space="preserve"> </w:t>
      </w:r>
    </w:p>
    <w:p w14:paraId="708C9645" w14:textId="77777777" w:rsidR="0011098A" w:rsidRDefault="0011098A" w:rsidP="00346B8C">
      <w:pPr>
        <w:spacing w:line="480" w:lineRule="auto"/>
        <w:rPr>
          <w:sz w:val="24"/>
          <w:szCs w:val="24"/>
        </w:rPr>
      </w:pPr>
    </w:p>
    <w:p w14:paraId="22AB7C89" w14:textId="0CFFA5F3" w:rsidR="00DD0B61" w:rsidRPr="00F42E76" w:rsidRDefault="00DD0B61" w:rsidP="00346B8C">
      <w:pPr>
        <w:spacing w:line="480" w:lineRule="auto"/>
        <w:rPr>
          <w:sz w:val="24"/>
          <w:szCs w:val="24"/>
        </w:rPr>
      </w:pPr>
      <w:r w:rsidRPr="00F42E76">
        <w:rPr>
          <w:sz w:val="24"/>
          <w:szCs w:val="24"/>
        </w:rPr>
        <w:t xml:space="preserve">As I will discuss, this development is perfectly understandable from the perspective of researchers. However, </w:t>
      </w:r>
      <w:r w:rsidR="00A37D58" w:rsidRPr="00F42E76">
        <w:rPr>
          <w:sz w:val="24"/>
          <w:szCs w:val="24"/>
        </w:rPr>
        <w:t>one</w:t>
      </w:r>
      <w:r w:rsidRPr="00F42E76">
        <w:rPr>
          <w:sz w:val="24"/>
          <w:szCs w:val="24"/>
        </w:rPr>
        <w:t xml:space="preserve"> consequence is that certain kinds of craftspeople become invisible when we </w:t>
      </w:r>
      <w:r w:rsidR="003B3A59" w:rsidRPr="00F42E76">
        <w:rPr>
          <w:sz w:val="24"/>
          <w:szCs w:val="24"/>
        </w:rPr>
        <w:t xml:space="preserve">only </w:t>
      </w:r>
      <w:r w:rsidRPr="00F42E76">
        <w:rPr>
          <w:sz w:val="24"/>
          <w:szCs w:val="24"/>
        </w:rPr>
        <w:t>approach craft in this way – particularly those who work at lower ends of artisanal commodity markets.</w:t>
      </w:r>
      <w:r w:rsidR="009A0764" w:rsidRPr="00F42E76">
        <w:rPr>
          <w:sz w:val="24"/>
          <w:szCs w:val="24"/>
        </w:rPr>
        <w:t xml:space="preserve"> Thi</w:t>
      </w:r>
      <w:r w:rsidR="00DD4D20" w:rsidRPr="00F42E76">
        <w:rPr>
          <w:sz w:val="24"/>
          <w:szCs w:val="24"/>
        </w:rPr>
        <w:t>s</w:t>
      </w:r>
      <w:r w:rsidR="009A0764" w:rsidRPr="00F42E76">
        <w:rPr>
          <w:sz w:val="24"/>
          <w:szCs w:val="24"/>
        </w:rPr>
        <w:t xml:space="preserve"> invisibility is</w:t>
      </w:r>
      <w:r w:rsidR="002D7BD9">
        <w:rPr>
          <w:sz w:val="24"/>
          <w:szCs w:val="24"/>
        </w:rPr>
        <w:t xml:space="preserve"> decidedly</w:t>
      </w:r>
      <w:r w:rsidR="001D426F" w:rsidRPr="00F42E76">
        <w:rPr>
          <w:sz w:val="24"/>
          <w:szCs w:val="24"/>
        </w:rPr>
        <w:t xml:space="preserve"> political in nature, </w:t>
      </w:r>
      <w:r w:rsidR="00F42E76" w:rsidRPr="00F42E76">
        <w:rPr>
          <w:sz w:val="24"/>
          <w:szCs w:val="24"/>
        </w:rPr>
        <w:t>i</w:t>
      </w:r>
      <w:r w:rsidR="001414EE">
        <w:rPr>
          <w:sz w:val="24"/>
          <w:szCs w:val="24"/>
        </w:rPr>
        <w:t xml:space="preserve">n ways that go beyond just issues of </w:t>
      </w:r>
      <w:r w:rsidR="00F42E76" w:rsidRPr="00F42E76">
        <w:rPr>
          <w:sz w:val="24"/>
          <w:szCs w:val="24"/>
        </w:rPr>
        <w:t>representation</w:t>
      </w:r>
      <w:r w:rsidR="00913066">
        <w:rPr>
          <w:sz w:val="24"/>
          <w:szCs w:val="24"/>
        </w:rPr>
        <w:t>: i</w:t>
      </w:r>
      <w:r w:rsidR="00DD4D20" w:rsidRPr="00F42E76">
        <w:rPr>
          <w:sz w:val="24"/>
          <w:szCs w:val="24"/>
        </w:rPr>
        <w:t>t</w:t>
      </w:r>
      <w:r w:rsidR="001D426F" w:rsidRPr="00F42E76">
        <w:rPr>
          <w:sz w:val="24"/>
          <w:szCs w:val="24"/>
        </w:rPr>
        <w:t xml:space="preserve"> reinforces hierarchies of power and value</w:t>
      </w:r>
      <w:r w:rsidR="001F3CF9">
        <w:rPr>
          <w:sz w:val="24"/>
          <w:szCs w:val="24"/>
        </w:rPr>
        <w:t xml:space="preserve"> </w:t>
      </w:r>
      <w:r w:rsidR="00390A30">
        <w:rPr>
          <w:sz w:val="24"/>
          <w:szCs w:val="24"/>
        </w:rPr>
        <w:t xml:space="preserve">amongst producers </w:t>
      </w:r>
      <w:r w:rsidR="001F3CF9">
        <w:rPr>
          <w:sz w:val="24"/>
          <w:szCs w:val="24"/>
        </w:rPr>
        <w:t>by excluding those craftspeople who do not fit the archetype of the skilful, satisfied artisan.</w:t>
      </w:r>
      <w:r w:rsidR="001D426F" w:rsidRPr="00F42E76">
        <w:rPr>
          <w:sz w:val="24"/>
          <w:szCs w:val="24"/>
        </w:rPr>
        <w:t xml:space="preserve"> </w:t>
      </w:r>
      <w:r w:rsidR="00913066">
        <w:rPr>
          <w:sz w:val="24"/>
          <w:szCs w:val="24"/>
        </w:rPr>
        <w:t>As these hierarchies</w:t>
      </w:r>
      <w:r w:rsidR="00390A30">
        <w:rPr>
          <w:sz w:val="24"/>
          <w:szCs w:val="24"/>
        </w:rPr>
        <w:t xml:space="preserve"> also inform</w:t>
      </w:r>
      <w:r w:rsidR="001414EE">
        <w:rPr>
          <w:sz w:val="24"/>
          <w:szCs w:val="24"/>
        </w:rPr>
        <w:t xml:space="preserve"> markets</w:t>
      </w:r>
      <w:r w:rsidR="00913066">
        <w:rPr>
          <w:sz w:val="24"/>
          <w:szCs w:val="24"/>
        </w:rPr>
        <w:t xml:space="preserve"> </w:t>
      </w:r>
      <w:r w:rsidR="001414EE">
        <w:rPr>
          <w:sz w:val="24"/>
          <w:szCs w:val="24"/>
        </w:rPr>
        <w:t>for craftwork</w:t>
      </w:r>
      <w:r w:rsidR="00390A30">
        <w:rPr>
          <w:sz w:val="24"/>
          <w:szCs w:val="24"/>
        </w:rPr>
        <w:t xml:space="preserve">, they directly affect </w:t>
      </w:r>
      <w:r w:rsidR="001414EE">
        <w:rPr>
          <w:sz w:val="24"/>
          <w:szCs w:val="24"/>
        </w:rPr>
        <w:t>artisans’ livelihoods</w:t>
      </w:r>
      <w:r w:rsidR="00390A30">
        <w:rPr>
          <w:sz w:val="24"/>
          <w:szCs w:val="24"/>
        </w:rPr>
        <w:t xml:space="preserve"> and well-being. As such, the semantic shift between craft as “something that is made by hand” and craft as “something that is made by hand that manifests skill, perception,</w:t>
      </w:r>
      <w:r w:rsidR="00033F03">
        <w:rPr>
          <w:sz w:val="24"/>
          <w:szCs w:val="24"/>
        </w:rPr>
        <w:t xml:space="preserve"> and</w:t>
      </w:r>
      <w:r w:rsidR="00390A30">
        <w:rPr>
          <w:sz w:val="24"/>
          <w:szCs w:val="24"/>
        </w:rPr>
        <w:t xml:space="preserve"> quality”</w:t>
      </w:r>
      <w:r w:rsidR="0011098A">
        <w:rPr>
          <w:sz w:val="24"/>
          <w:szCs w:val="24"/>
        </w:rPr>
        <w:t xml:space="preserve"> engenders a political </w:t>
      </w:r>
      <w:r w:rsidR="00033F03">
        <w:rPr>
          <w:sz w:val="24"/>
          <w:szCs w:val="24"/>
        </w:rPr>
        <w:t>act.</w:t>
      </w:r>
    </w:p>
    <w:p w14:paraId="27D55CD4" w14:textId="77777777" w:rsidR="00DD0B61" w:rsidRPr="00F42E76" w:rsidRDefault="00DD0B61" w:rsidP="00346B8C">
      <w:pPr>
        <w:spacing w:line="480" w:lineRule="auto"/>
        <w:rPr>
          <w:sz w:val="24"/>
          <w:szCs w:val="24"/>
        </w:rPr>
      </w:pPr>
    </w:p>
    <w:p w14:paraId="3F56E850" w14:textId="67C39750" w:rsidR="001E142D" w:rsidRPr="00F42E76" w:rsidRDefault="00142935" w:rsidP="00346B8C">
      <w:pPr>
        <w:spacing w:line="480" w:lineRule="auto"/>
        <w:rPr>
          <w:sz w:val="24"/>
          <w:szCs w:val="24"/>
        </w:rPr>
      </w:pPr>
      <w:r w:rsidRPr="00F42E76">
        <w:rPr>
          <w:sz w:val="24"/>
          <w:szCs w:val="24"/>
        </w:rPr>
        <w:lastRenderedPageBreak/>
        <w:t>In order to highlight the consequences of this slippage, I</w:t>
      </w:r>
      <w:r w:rsidR="00712FE7" w:rsidRPr="00F42E76">
        <w:rPr>
          <w:sz w:val="24"/>
          <w:szCs w:val="24"/>
        </w:rPr>
        <w:t xml:space="preserve"> </w:t>
      </w:r>
      <w:r w:rsidRPr="00F42E76">
        <w:rPr>
          <w:sz w:val="24"/>
          <w:szCs w:val="24"/>
        </w:rPr>
        <w:t xml:space="preserve">will </w:t>
      </w:r>
      <w:r w:rsidR="00712FE7" w:rsidRPr="00F42E76">
        <w:rPr>
          <w:sz w:val="24"/>
          <w:szCs w:val="24"/>
        </w:rPr>
        <w:t>focus here on</w:t>
      </w:r>
      <w:r w:rsidR="00607BE2" w:rsidRPr="00F42E76">
        <w:rPr>
          <w:sz w:val="24"/>
          <w:szCs w:val="24"/>
        </w:rPr>
        <w:t xml:space="preserve"> the concepts of</w:t>
      </w:r>
      <w:r w:rsidR="00712FE7" w:rsidRPr="00F42E76">
        <w:rPr>
          <w:sz w:val="24"/>
          <w:szCs w:val="24"/>
        </w:rPr>
        <w:t xml:space="preserve"> </w:t>
      </w:r>
      <w:r w:rsidR="00607BE2" w:rsidRPr="00F42E76">
        <w:rPr>
          <w:sz w:val="24"/>
          <w:szCs w:val="24"/>
        </w:rPr>
        <w:t xml:space="preserve">“craftsmanship” and </w:t>
      </w:r>
      <w:r w:rsidR="00712FE7" w:rsidRPr="00F42E76">
        <w:rPr>
          <w:sz w:val="24"/>
          <w:szCs w:val="24"/>
        </w:rPr>
        <w:t>the “community of practice”</w:t>
      </w:r>
      <w:r w:rsidR="00E5236B" w:rsidRPr="00F42E76">
        <w:rPr>
          <w:sz w:val="24"/>
          <w:szCs w:val="24"/>
        </w:rPr>
        <w:t xml:space="preserve"> </w:t>
      </w:r>
      <w:r w:rsidR="00DD0B61" w:rsidRPr="00F42E76">
        <w:rPr>
          <w:sz w:val="24"/>
          <w:szCs w:val="24"/>
        </w:rPr>
        <w:t xml:space="preserve">(CoP) </w:t>
      </w:r>
      <w:r w:rsidR="006E559B" w:rsidRPr="00F42E76">
        <w:rPr>
          <w:sz w:val="24"/>
          <w:szCs w:val="24"/>
        </w:rPr>
        <w:t xml:space="preserve">because </w:t>
      </w:r>
      <w:r w:rsidR="000460C0" w:rsidRPr="00F42E76">
        <w:rPr>
          <w:sz w:val="24"/>
          <w:szCs w:val="24"/>
        </w:rPr>
        <w:t xml:space="preserve">they have </w:t>
      </w:r>
      <w:r w:rsidR="006E559B" w:rsidRPr="00F42E76">
        <w:rPr>
          <w:sz w:val="24"/>
          <w:szCs w:val="24"/>
        </w:rPr>
        <w:t>been so useful</w:t>
      </w:r>
      <w:r w:rsidR="00471484" w:rsidRPr="00F42E76">
        <w:rPr>
          <w:sz w:val="24"/>
          <w:szCs w:val="24"/>
        </w:rPr>
        <w:t xml:space="preserve"> to us</w:t>
      </w:r>
      <w:r w:rsidR="006E559B" w:rsidRPr="00F42E76">
        <w:rPr>
          <w:sz w:val="24"/>
          <w:szCs w:val="24"/>
        </w:rPr>
        <w:t xml:space="preserve"> as analytic frame</w:t>
      </w:r>
      <w:r w:rsidR="000460C0" w:rsidRPr="00F42E76">
        <w:rPr>
          <w:sz w:val="24"/>
          <w:szCs w:val="24"/>
        </w:rPr>
        <w:t>s</w:t>
      </w:r>
      <w:r w:rsidR="00471484" w:rsidRPr="00F42E76">
        <w:rPr>
          <w:sz w:val="24"/>
          <w:szCs w:val="24"/>
        </w:rPr>
        <w:t xml:space="preserve">. </w:t>
      </w:r>
      <w:r w:rsidRPr="00F42E76">
        <w:rPr>
          <w:sz w:val="24"/>
          <w:szCs w:val="24"/>
        </w:rPr>
        <w:t>I do not intend this as a</w:t>
      </w:r>
      <w:r w:rsidR="00E5236B" w:rsidRPr="00F42E76">
        <w:rPr>
          <w:sz w:val="24"/>
          <w:szCs w:val="24"/>
        </w:rPr>
        <w:t xml:space="preserve"> critique of the </w:t>
      </w:r>
      <w:r w:rsidR="00DD0B61" w:rsidRPr="00F42E76">
        <w:rPr>
          <w:sz w:val="24"/>
          <w:szCs w:val="24"/>
        </w:rPr>
        <w:t>CoP</w:t>
      </w:r>
      <w:r w:rsidR="00E5236B" w:rsidRPr="00F42E76">
        <w:rPr>
          <w:sz w:val="24"/>
          <w:szCs w:val="24"/>
        </w:rPr>
        <w:t xml:space="preserve"> approach</w:t>
      </w:r>
      <w:r w:rsidR="00471484" w:rsidRPr="00F42E76">
        <w:rPr>
          <w:sz w:val="24"/>
          <w:szCs w:val="24"/>
        </w:rPr>
        <w:t xml:space="preserve"> </w:t>
      </w:r>
      <w:r w:rsidR="001977C1" w:rsidRPr="00F42E76">
        <w:rPr>
          <w:i/>
          <w:sz w:val="24"/>
          <w:szCs w:val="24"/>
        </w:rPr>
        <w:t>per se</w:t>
      </w:r>
      <w:r w:rsidR="001977C1" w:rsidRPr="00F42E76">
        <w:rPr>
          <w:sz w:val="24"/>
          <w:szCs w:val="24"/>
        </w:rPr>
        <w:t>; r</w:t>
      </w:r>
      <w:r w:rsidR="00E5236B" w:rsidRPr="00F42E76">
        <w:rPr>
          <w:sz w:val="24"/>
          <w:szCs w:val="24"/>
        </w:rPr>
        <w:t>ather</w:t>
      </w:r>
      <w:r w:rsidR="00471484" w:rsidRPr="00F42E76">
        <w:rPr>
          <w:sz w:val="24"/>
          <w:szCs w:val="24"/>
        </w:rPr>
        <w:t>, I</w:t>
      </w:r>
      <w:r w:rsidR="00DB2BCF" w:rsidRPr="00F42E76">
        <w:rPr>
          <w:sz w:val="24"/>
          <w:szCs w:val="24"/>
        </w:rPr>
        <w:t xml:space="preserve"> </w:t>
      </w:r>
      <w:r w:rsidR="00CC3CC3" w:rsidRPr="00F42E76">
        <w:rPr>
          <w:sz w:val="24"/>
          <w:szCs w:val="24"/>
        </w:rPr>
        <w:t>us</w:t>
      </w:r>
      <w:r w:rsidR="00DB2BCF" w:rsidRPr="00F42E76">
        <w:rPr>
          <w:sz w:val="24"/>
          <w:szCs w:val="24"/>
        </w:rPr>
        <w:t>e</w:t>
      </w:r>
      <w:r w:rsidR="00CC3CC3" w:rsidRPr="00F42E76">
        <w:rPr>
          <w:sz w:val="24"/>
          <w:szCs w:val="24"/>
        </w:rPr>
        <w:t xml:space="preserve"> </w:t>
      </w:r>
      <w:r w:rsidR="00DB2BCF" w:rsidRPr="00F42E76">
        <w:rPr>
          <w:sz w:val="24"/>
          <w:szCs w:val="24"/>
        </w:rPr>
        <w:t>CoP</w:t>
      </w:r>
      <w:r w:rsidR="00CC3CC3" w:rsidRPr="00F42E76">
        <w:rPr>
          <w:sz w:val="24"/>
          <w:szCs w:val="24"/>
        </w:rPr>
        <w:t xml:space="preserve"> as a foil to question</w:t>
      </w:r>
      <w:r w:rsidR="00E5236B" w:rsidRPr="00F42E76">
        <w:rPr>
          <w:sz w:val="24"/>
          <w:szCs w:val="24"/>
        </w:rPr>
        <w:t xml:space="preserve"> what and whom gets missed when we imagine artisanship as a</w:t>
      </w:r>
      <w:r w:rsidR="00471484" w:rsidRPr="00F42E76">
        <w:rPr>
          <w:sz w:val="24"/>
          <w:szCs w:val="24"/>
        </w:rPr>
        <w:t>n ethical condition of being rather than a category of person who makes things</w:t>
      </w:r>
      <w:r w:rsidR="004E4385" w:rsidRPr="00F42E76">
        <w:rPr>
          <w:sz w:val="24"/>
          <w:szCs w:val="24"/>
        </w:rPr>
        <w:t xml:space="preserve"> by hand.</w:t>
      </w:r>
      <w:r w:rsidR="009F67C9" w:rsidRPr="00F42E76">
        <w:rPr>
          <w:sz w:val="24"/>
          <w:szCs w:val="24"/>
        </w:rPr>
        <w:t xml:space="preserve"> Drawing on </w:t>
      </w:r>
      <w:r w:rsidR="00CC3CC3" w:rsidRPr="00F42E76">
        <w:rPr>
          <w:sz w:val="24"/>
          <w:szCs w:val="24"/>
        </w:rPr>
        <w:t xml:space="preserve">long term </w:t>
      </w:r>
      <w:r w:rsidR="009F67C9" w:rsidRPr="00F42E76">
        <w:rPr>
          <w:sz w:val="24"/>
          <w:szCs w:val="24"/>
        </w:rPr>
        <w:t xml:space="preserve">ethnographic research </w:t>
      </w:r>
      <w:r w:rsidR="00CC3CC3" w:rsidRPr="00F42E76">
        <w:rPr>
          <w:sz w:val="24"/>
          <w:szCs w:val="24"/>
        </w:rPr>
        <w:t xml:space="preserve">that </w:t>
      </w:r>
      <w:r w:rsidR="009F67C9" w:rsidRPr="00F42E76">
        <w:rPr>
          <w:sz w:val="24"/>
          <w:szCs w:val="24"/>
        </w:rPr>
        <w:t xml:space="preserve">I conducted with woodcarvers in Oaxaca, Mexico, I will </w:t>
      </w:r>
      <w:r w:rsidR="00CC3CC3" w:rsidRPr="00F42E76">
        <w:rPr>
          <w:sz w:val="24"/>
          <w:szCs w:val="24"/>
        </w:rPr>
        <w:t>show how the CoP approach does not account for artisans whose</w:t>
      </w:r>
      <w:r w:rsidR="00CC32A9" w:rsidRPr="00F42E76">
        <w:rPr>
          <w:sz w:val="24"/>
          <w:szCs w:val="24"/>
        </w:rPr>
        <w:t xml:space="preserve"> personalities and</w:t>
      </w:r>
      <w:r w:rsidR="00CC3CC3" w:rsidRPr="00F42E76">
        <w:rPr>
          <w:sz w:val="24"/>
          <w:szCs w:val="24"/>
        </w:rPr>
        <w:t xml:space="preserve"> conditions of work mean that they regularly work “without skill”</w:t>
      </w:r>
      <w:r w:rsidR="009F67C9" w:rsidRPr="00F42E76">
        <w:rPr>
          <w:sz w:val="24"/>
          <w:szCs w:val="24"/>
        </w:rPr>
        <w:t>.</w:t>
      </w:r>
      <w:r w:rsidR="00B4245E" w:rsidRPr="00F42E76">
        <w:rPr>
          <w:rStyle w:val="EndnoteReference"/>
          <w:sz w:val="24"/>
          <w:szCs w:val="24"/>
        </w:rPr>
        <w:endnoteReference w:id="6"/>
      </w:r>
      <w:r w:rsidR="009F67C9" w:rsidRPr="00F42E76">
        <w:rPr>
          <w:sz w:val="24"/>
          <w:szCs w:val="24"/>
        </w:rPr>
        <w:t xml:space="preserve"> </w:t>
      </w:r>
      <w:r w:rsidR="00000322" w:rsidRPr="00F42E76">
        <w:rPr>
          <w:sz w:val="24"/>
          <w:szCs w:val="24"/>
        </w:rPr>
        <w:t xml:space="preserve">While most of the artisans I worked with enjoyed the rhythm and flow of their craft, there were a few who resisted these qualities of the work and at times resented the conditions of economy and chance that made craftwork their fate. Since they did not perceive their work as a satisfying engagement with materials and form, </w:t>
      </w:r>
      <w:r w:rsidR="00693A3C" w:rsidRPr="00F42E76">
        <w:rPr>
          <w:sz w:val="24"/>
          <w:szCs w:val="24"/>
        </w:rPr>
        <w:t>formulations of “craftsmanship” and the “community of practice” are not sufficient for understanding their experiences</w:t>
      </w:r>
      <w:r w:rsidR="00000322" w:rsidRPr="00F42E76">
        <w:rPr>
          <w:sz w:val="24"/>
          <w:szCs w:val="24"/>
        </w:rPr>
        <w:t xml:space="preserve">. </w:t>
      </w:r>
      <w:r w:rsidR="00693A3C" w:rsidRPr="00F42E76">
        <w:rPr>
          <w:sz w:val="24"/>
          <w:szCs w:val="24"/>
        </w:rPr>
        <w:t xml:space="preserve">I begin by exploring the ways that ethical understandings of craftmanship have influenced scholarly approaches to craft, and how the </w:t>
      </w:r>
      <w:r w:rsidR="00CC32A9" w:rsidRPr="00F42E76">
        <w:rPr>
          <w:sz w:val="24"/>
          <w:szCs w:val="24"/>
        </w:rPr>
        <w:t>CoP</w:t>
      </w:r>
      <w:r w:rsidR="00693A3C" w:rsidRPr="00F42E76">
        <w:rPr>
          <w:sz w:val="24"/>
          <w:szCs w:val="24"/>
        </w:rPr>
        <w:t xml:space="preserve"> approach reinforces the exclusion of </w:t>
      </w:r>
      <w:r w:rsidR="00CC32A9" w:rsidRPr="00F42E76">
        <w:rPr>
          <w:sz w:val="24"/>
          <w:szCs w:val="24"/>
        </w:rPr>
        <w:t>certain kinds of artisans</w:t>
      </w:r>
      <w:r w:rsidR="00693A3C" w:rsidRPr="00F42E76">
        <w:rPr>
          <w:sz w:val="24"/>
          <w:szCs w:val="24"/>
        </w:rPr>
        <w:t>.</w:t>
      </w:r>
      <w:r w:rsidR="00B611F1" w:rsidRPr="00F42E76">
        <w:rPr>
          <w:sz w:val="24"/>
          <w:szCs w:val="24"/>
        </w:rPr>
        <w:t xml:space="preserve"> I then present the cases of two artisans to highlight how their perceptions of their work are not reflected in the ideals of craftsmanship or the CoP formulation.</w:t>
      </w:r>
      <w:r w:rsidR="00CC32A9" w:rsidRPr="00F42E76">
        <w:rPr>
          <w:sz w:val="24"/>
          <w:szCs w:val="24"/>
        </w:rPr>
        <w:t xml:space="preserve"> </w:t>
      </w:r>
    </w:p>
    <w:p w14:paraId="041B20DB" w14:textId="77777777" w:rsidR="00B611F1" w:rsidRPr="00F42E76" w:rsidRDefault="00B611F1" w:rsidP="00346B8C">
      <w:pPr>
        <w:spacing w:line="480" w:lineRule="auto"/>
        <w:rPr>
          <w:sz w:val="24"/>
          <w:szCs w:val="24"/>
        </w:rPr>
      </w:pPr>
    </w:p>
    <w:p w14:paraId="1FC8123B" w14:textId="77777777" w:rsidR="009F67C9" w:rsidRPr="00F42E76" w:rsidRDefault="00B611F1" w:rsidP="00CC3CC3">
      <w:pPr>
        <w:pStyle w:val="Heading2"/>
        <w:rPr>
          <w:lang w:val="en-GB"/>
        </w:rPr>
      </w:pPr>
      <w:r w:rsidRPr="00F42E76">
        <w:rPr>
          <w:lang w:val="en-GB"/>
        </w:rPr>
        <w:t>C</w:t>
      </w:r>
      <w:r w:rsidR="00DC2A8A" w:rsidRPr="00F42E76">
        <w:rPr>
          <w:lang w:val="en-GB"/>
        </w:rPr>
        <w:t>raft</w:t>
      </w:r>
      <w:r w:rsidR="00E718F0" w:rsidRPr="00F42E76">
        <w:rPr>
          <w:lang w:val="en-GB"/>
        </w:rPr>
        <w:t>smanship</w:t>
      </w:r>
      <w:r w:rsidR="00DC2A8A" w:rsidRPr="00F42E76">
        <w:rPr>
          <w:lang w:val="en-GB"/>
        </w:rPr>
        <w:t xml:space="preserve"> and the </w:t>
      </w:r>
      <w:r w:rsidR="009F67C9" w:rsidRPr="00F42E76">
        <w:rPr>
          <w:lang w:val="en-GB"/>
        </w:rPr>
        <w:t>Community of Practice</w:t>
      </w:r>
    </w:p>
    <w:p w14:paraId="59701C67" w14:textId="77777777" w:rsidR="009F67C9" w:rsidRPr="00F42E76" w:rsidRDefault="009F67C9" w:rsidP="000A0568">
      <w:pPr>
        <w:spacing w:line="480" w:lineRule="auto"/>
        <w:rPr>
          <w:sz w:val="24"/>
          <w:szCs w:val="24"/>
        </w:rPr>
      </w:pPr>
    </w:p>
    <w:p w14:paraId="3CFE7362" w14:textId="77777777" w:rsidR="00E718F0" w:rsidRPr="00F42E76" w:rsidRDefault="00E718F0" w:rsidP="00276DCE">
      <w:pPr>
        <w:spacing w:line="240" w:lineRule="auto"/>
        <w:ind w:left="426"/>
        <w:rPr>
          <w:sz w:val="24"/>
          <w:szCs w:val="24"/>
        </w:rPr>
      </w:pPr>
      <w:r w:rsidRPr="00F42E76">
        <w:rPr>
          <w:sz w:val="24"/>
          <w:szCs w:val="24"/>
        </w:rPr>
        <w:t>“…the way [the old cabinetmaker] manages his budget, his time or his body, his use of language and choice of clothing are fully present in his ethic of scrupulous, impeccable craftsmanship and in the aesthetic of work for work’s sake which leads him to measure the beauty of his products by the care and patience that have gone into them.”</w:t>
      </w:r>
      <w:r w:rsidR="00E857E9" w:rsidRPr="00F42E76">
        <w:rPr>
          <w:rStyle w:val="EndnoteReference"/>
          <w:sz w:val="24"/>
          <w:szCs w:val="24"/>
        </w:rPr>
        <w:endnoteReference w:id="7"/>
      </w:r>
    </w:p>
    <w:p w14:paraId="089D59E3" w14:textId="77777777" w:rsidR="002C1B5A" w:rsidRPr="00F42E76" w:rsidRDefault="002C1B5A" w:rsidP="00142935">
      <w:pPr>
        <w:spacing w:line="480" w:lineRule="auto"/>
        <w:rPr>
          <w:sz w:val="24"/>
          <w:szCs w:val="24"/>
        </w:rPr>
      </w:pPr>
    </w:p>
    <w:p w14:paraId="178E006E" w14:textId="78958BF7" w:rsidR="00276DCE" w:rsidRPr="00F42E76" w:rsidRDefault="00E857E9" w:rsidP="00142935">
      <w:pPr>
        <w:spacing w:line="480" w:lineRule="auto"/>
        <w:rPr>
          <w:sz w:val="24"/>
          <w:szCs w:val="24"/>
        </w:rPr>
      </w:pPr>
      <w:r w:rsidRPr="00F42E76">
        <w:rPr>
          <w:sz w:val="24"/>
          <w:szCs w:val="24"/>
        </w:rPr>
        <w:lastRenderedPageBreak/>
        <w:t xml:space="preserve">This description by </w:t>
      </w:r>
      <w:r w:rsidR="00E718F0" w:rsidRPr="00F42E76">
        <w:rPr>
          <w:sz w:val="24"/>
          <w:szCs w:val="24"/>
        </w:rPr>
        <w:t>Pierre Bourdieu</w:t>
      </w:r>
      <w:r w:rsidRPr="00F42E76">
        <w:rPr>
          <w:sz w:val="24"/>
          <w:szCs w:val="24"/>
        </w:rPr>
        <w:t xml:space="preserve"> </w:t>
      </w:r>
      <w:r w:rsidR="00E718F0" w:rsidRPr="00F42E76">
        <w:rPr>
          <w:sz w:val="24"/>
          <w:szCs w:val="24"/>
        </w:rPr>
        <w:t xml:space="preserve">of the relationship between the cabinetmaker’s </w:t>
      </w:r>
      <w:r w:rsidR="00E718F0" w:rsidRPr="00F42E76">
        <w:rPr>
          <w:i/>
          <w:sz w:val="24"/>
          <w:szCs w:val="24"/>
        </w:rPr>
        <w:t xml:space="preserve">habitus </w:t>
      </w:r>
      <w:r w:rsidR="00E718F0" w:rsidRPr="00F42E76">
        <w:rPr>
          <w:sz w:val="24"/>
          <w:szCs w:val="24"/>
        </w:rPr>
        <w:t xml:space="preserve">and his artisanal skill would not appear out of place if it had been written </w:t>
      </w:r>
      <w:r w:rsidR="002A639D" w:rsidRPr="00F42E76">
        <w:rPr>
          <w:sz w:val="24"/>
          <w:szCs w:val="24"/>
        </w:rPr>
        <w:t>a century</w:t>
      </w:r>
      <w:r w:rsidR="00E718F0" w:rsidRPr="00F42E76">
        <w:rPr>
          <w:sz w:val="24"/>
          <w:szCs w:val="24"/>
        </w:rPr>
        <w:t xml:space="preserve"> earlier by William Morris</w:t>
      </w:r>
      <w:r w:rsidR="002C1B5A" w:rsidRPr="00F42E76">
        <w:rPr>
          <w:sz w:val="24"/>
          <w:szCs w:val="24"/>
        </w:rPr>
        <w:t xml:space="preserve"> or</w:t>
      </w:r>
      <w:r w:rsidR="00E718F0" w:rsidRPr="00F42E76">
        <w:rPr>
          <w:sz w:val="24"/>
          <w:szCs w:val="24"/>
        </w:rPr>
        <w:t xml:space="preserve"> John Ruskin</w:t>
      </w:r>
      <w:r w:rsidR="002C1B5A" w:rsidRPr="00F42E76">
        <w:rPr>
          <w:sz w:val="24"/>
          <w:szCs w:val="24"/>
        </w:rPr>
        <w:t>. The</w:t>
      </w:r>
      <w:r w:rsidR="00FC0FAE" w:rsidRPr="00F42E76">
        <w:rPr>
          <w:sz w:val="24"/>
          <w:szCs w:val="24"/>
        </w:rPr>
        <w:t>se</w:t>
      </w:r>
      <w:r w:rsidR="00E718F0" w:rsidRPr="00F42E76">
        <w:rPr>
          <w:sz w:val="24"/>
          <w:szCs w:val="24"/>
        </w:rPr>
        <w:t xml:space="preserve"> Arts and Crafts </w:t>
      </w:r>
      <w:r w:rsidR="00FC0FAE" w:rsidRPr="00F42E76">
        <w:rPr>
          <w:sz w:val="24"/>
          <w:szCs w:val="24"/>
        </w:rPr>
        <w:t xml:space="preserve">thinkers </w:t>
      </w:r>
      <w:r w:rsidR="00E718F0" w:rsidRPr="00F42E76">
        <w:rPr>
          <w:sz w:val="24"/>
          <w:szCs w:val="24"/>
        </w:rPr>
        <w:t xml:space="preserve">sought to convince the public of the ethical value of craft by arguing that they were a true expression of “man’s happiness in his </w:t>
      </w:r>
      <w:r w:rsidR="00F42E76" w:rsidRPr="00F42E76">
        <w:rPr>
          <w:sz w:val="24"/>
          <w:szCs w:val="24"/>
        </w:rPr>
        <w:t>labour</w:t>
      </w:r>
      <w:r w:rsidR="002C1B5A" w:rsidRPr="00F42E76">
        <w:rPr>
          <w:sz w:val="24"/>
          <w:szCs w:val="24"/>
        </w:rPr>
        <w:t>.</w:t>
      </w:r>
      <w:r w:rsidR="00E718F0" w:rsidRPr="00F42E76">
        <w:rPr>
          <w:sz w:val="24"/>
          <w:szCs w:val="24"/>
        </w:rPr>
        <w:t>”</w:t>
      </w:r>
      <w:r w:rsidR="002C1B5A" w:rsidRPr="00F42E76">
        <w:rPr>
          <w:rStyle w:val="EndnoteReference"/>
          <w:sz w:val="24"/>
          <w:szCs w:val="24"/>
        </w:rPr>
        <w:endnoteReference w:id="8"/>
      </w:r>
      <w:r w:rsidR="00276DCE" w:rsidRPr="00F42E76">
        <w:rPr>
          <w:sz w:val="24"/>
          <w:szCs w:val="24"/>
        </w:rPr>
        <w:t xml:space="preserve"> </w:t>
      </w:r>
      <w:r w:rsidR="00E718F0" w:rsidRPr="00F42E76">
        <w:rPr>
          <w:sz w:val="24"/>
          <w:szCs w:val="24"/>
        </w:rPr>
        <w:t xml:space="preserve">While we may admire </w:t>
      </w:r>
      <w:r w:rsidR="00FC0FAE" w:rsidRPr="00F42E76">
        <w:rPr>
          <w:sz w:val="24"/>
          <w:szCs w:val="24"/>
        </w:rPr>
        <w:t>the</w:t>
      </w:r>
      <w:r w:rsidR="00327AE0" w:rsidRPr="00F42E76">
        <w:rPr>
          <w:sz w:val="24"/>
          <w:szCs w:val="24"/>
        </w:rPr>
        <w:t xml:space="preserve">se </w:t>
      </w:r>
      <w:r w:rsidR="00A37D58" w:rsidRPr="00F42E76">
        <w:rPr>
          <w:sz w:val="24"/>
          <w:szCs w:val="24"/>
        </w:rPr>
        <w:t>thinkers</w:t>
      </w:r>
      <w:r w:rsidR="00327AE0" w:rsidRPr="00F42E76">
        <w:rPr>
          <w:sz w:val="24"/>
          <w:szCs w:val="24"/>
        </w:rPr>
        <w:t xml:space="preserve"> </w:t>
      </w:r>
      <w:r w:rsidR="00E718F0" w:rsidRPr="00F42E76">
        <w:rPr>
          <w:sz w:val="24"/>
          <w:szCs w:val="24"/>
        </w:rPr>
        <w:t>for their desire for social justice, we need a broader and more critical view o</w:t>
      </w:r>
      <w:r w:rsidR="00142935" w:rsidRPr="00F42E76">
        <w:rPr>
          <w:sz w:val="24"/>
          <w:szCs w:val="24"/>
        </w:rPr>
        <w:t>f</w:t>
      </w:r>
      <w:r w:rsidR="00E718F0" w:rsidRPr="00F42E76">
        <w:rPr>
          <w:sz w:val="24"/>
          <w:szCs w:val="24"/>
        </w:rPr>
        <w:t xml:space="preserve"> the relationship between artisans and their works. What of the cabinetmakers who do not live their lives by an aesthetic of work for work’s sake, yet still make cabinets? </w:t>
      </w:r>
    </w:p>
    <w:p w14:paraId="3DB340D2" w14:textId="77777777" w:rsidR="002A639D" w:rsidRPr="00F42E76" w:rsidRDefault="002A639D" w:rsidP="00142935">
      <w:pPr>
        <w:spacing w:line="480" w:lineRule="auto"/>
        <w:rPr>
          <w:sz w:val="24"/>
          <w:szCs w:val="24"/>
        </w:rPr>
      </w:pPr>
    </w:p>
    <w:p w14:paraId="20CA8F5C" w14:textId="68A604C7" w:rsidR="00327AE0" w:rsidRPr="00F42E76" w:rsidRDefault="00327AE0" w:rsidP="00142935">
      <w:pPr>
        <w:spacing w:line="480" w:lineRule="auto"/>
        <w:rPr>
          <w:sz w:val="24"/>
          <w:szCs w:val="24"/>
        </w:rPr>
      </w:pPr>
      <w:r w:rsidRPr="00F42E76">
        <w:rPr>
          <w:sz w:val="24"/>
          <w:szCs w:val="24"/>
        </w:rPr>
        <w:t>I</w:t>
      </w:r>
      <w:r w:rsidR="00142935" w:rsidRPr="00F42E76">
        <w:rPr>
          <w:sz w:val="24"/>
          <w:szCs w:val="24"/>
        </w:rPr>
        <w:t xml:space="preserve">t is not a coincidence that </w:t>
      </w:r>
      <w:r w:rsidRPr="00F42E76">
        <w:rPr>
          <w:sz w:val="24"/>
          <w:szCs w:val="24"/>
        </w:rPr>
        <w:t>researchers</w:t>
      </w:r>
      <w:r w:rsidR="00142935" w:rsidRPr="00F42E76">
        <w:rPr>
          <w:sz w:val="24"/>
          <w:szCs w:val="24"/>
        </w:rPr>
        <w:t xml:space="preserve"> of craft would be predisposed to find that skilled practices are intrinsically satisfying and engaging</w:t>
      </w:r>
      <w:r w:rsidRPr="00F42E76">
        <w:rPr>
          <w:sz w:val="24"/>
          <w:szCs w:val="24"/>
        </w:rPr>
        <w:t>:</w:t>
      </w:r>
      <w:r w:rsidR="00142935" w:rsidRPr="00F42E76">
        <w:rPr>
          <w:sz w:val="24"/>
          <w:szCs w:val="24"/>
        </w:rPr>
        <w:t xml:space="preserve"> </w:t>
      </w:r>
      <w:r w:rsidRPr="00F42E76">
        <w:rPr>
          <w:sz w:val="24"/>
          <w:szCs w:val="24"/>
        </w:rPr>
        <w:t xml:space="preserve">as scholars we </w:t>
      </w:r>
      <w:r w:rsidR="005076B9" w:rsidRPr="00F42E76">
        <w:rPr>
          <w:sz w:val="24"/>
          <w:szCs w:val="24"/>
        </w:rPr>
        <w:t xml:space="preserve">tend </w:t>
      </w:r>
      <w:r w:rsidR="00142935" w:rsidRPr="00F42E76">
        <w:rPr>
          <w:sz w:val="24"/>
          <w:szCs w:val="24"/>
        </w:rPr>
        <w:t xml:space="preserve">to </w:t>
      </w:r>
      <w:r w:rsidR="005076B9" w:rsidRPr="00F42E76">
        <w:rPr>
          <w:sz w:val="24"/>
          <w:szCs w:val="24"/>
        </w:rPr>
        <w:t xml:space="preserve">be interested </w:t>
      </w:r>
      <w:r w:rsidR="002A639D" w:rsidRPr="00F42E76">
        <w:rPr>
          <w:sz w:val="24"/>
          <w:szCs w:val="24"/>
        </w:rPr>
        <w:t>in</w:t>
      </w:r>
      <w:r w:rsidR="005076B9" w:rsidRPr="00F42E76">
        <w:rPr>
          <w:sz w:val="24"/>
          <w:szCs w:val="24"/>
        </w:rPr>
        <w:t xml:space="preserve"> </w:t>
      </w:r>
      <w:r w:rsidR="00142935" w:rsidRPr="00F42E76">
        <w:rPr>
          <w:sz w:val="24"/>
          <w:szCs w:val="24"/>
        </w:rPr>
        <w:t>those things that people themselves find interesting and worthwhile.</w:t>
      </w:r>
      <w:r w:rsidRPr="00F42E76">
        <w:rPr>
          <w:rStyle w:val="EndnoteReference"/>
          <w:sz w:val="24"/>
          <w:szCs w:val="24"/>
        </w:rPr>
        <w:endnoteReference w:id="9"/>
      </w:r>
      <w:r w:rsidRPr="00F42E76">
        <w:rPr>
          <w:sz w:val="24"/>
          <w:szCs w:val="24"/>
        </w:rPr>
        <w:t xml:space="preserve"> </w:t>
      </w:r>
      <w:r w:rsidR="00142935" w:rsidRPr="00F42E76">
        <w:rPr>
          <w:sz w:val="24"/>
          <w:szCs w:val="24"/>
        </w:rPr>
        <w:t xml:space="preserve">As Soumhya Venkatesan observes, studies of skill are most frequently focused on those skills that are valued by artisans and the larger societies in which they work, noting that this has given </w:t>
      </w:r>
      <w:r w:rsidR="00F43ED0" w:rsidRPr="00F42E76">
        <w:rPr>
          <w:sz w:val="24"/>
          <w:szCs w:val="24"/>
        </w:rPr>
        <w:t xml:space="preserve">scholarly </w:t>
      </w:r>
      <w:r w:rsidR="00142935" w:rsidRPr="00F42E76">
        <w:rPr>
          <w:sz w:val="24"/>
          <w:szCs w:val="24"/>
        </w:rPr>
        <w:t xml:space="preserve">understandings of artisanal work a particular </w:t>
      </w:r>
      <w:r w:rsidR="00F42E76" w:rsidRPr="00F42E76">
        <w:rPr>
          <w:sz w:val="24"/>
          <w:szCs w:val="24"/>
        </w:rPr>
        <w:t>flavour</w:t>
      </w:r>
      <w:r w:rsidR="00142935" w:rsidRPr="00F42E76">
        <w:rPr>
          <w:sz w:val="24"/>
          <w:szCs w:val="24"/>
        </w:rPr>
        <w:t xml:space="preserve"> of engaged consciousness and deep meaningfulness.</w:t>
      </w:r>
      <w:r w:rsidR="00F43ED0" w:rsidRPr="00F42E76">
        <w:rPr>
          <w:rStyle w:val="EndnoteReference"/>
          <w:sz w:val="24"/>
          <w:szCs w:val="24"/>
        </w:rPr>
        <w:endnoteReference w:id="10"/>
      </w:r>
      <w:r w:rsidR="00142935" w:rsidRPr="00F42E76">
        <w:rPr>
          <w:sz w:val="24"/>
          <w:szCs w:val="24"/>
        </w:rPr>
        <w:t xml:space="preserve"> </w:t>
      </w:r>
      <w:r w:rsidR="00F43ED0" w:rsidRPr="00F42E76">
        <w:rPr>
          <w:sz w:val="24"/>
          <w:szCs w:val="24"/>
        </w:rPr>
        <w:t>A</w:t>
      </w:r>
      <w:r w:rsidR="00142935" w:rsidRPr="00F42E76">
        <w:rPr>
          <w:sz w:val="24"/>
          <w:szCs w:val="24"/>
        </w:rPr>
        <w:t xml:space="preserve">s researchers, we are </w:t>
      </w:r>
      <w:r w:rsidR="00F43ED0" w:rsidRPr="00F42E76">
        <w:rPr>
          <w:sz w:val="24"/>
          <w:szCs w:val="24"/>
        </w:rPr>
        <w:t xml:space="preserve">also </w:t>
      </w:r>
      <w:r w:rsidR="00142935" w:rsidRPr="00F42E76">
        <w:rPr>
          <w:sz w:val="24"/>
          <w:szCs w:val="24"/>
        </w:rPr>
        <w:t>often drawn to topics that connect with our own personal interests and experiences. It is not surprising to discover that Trevor Marchand, who has produced fascinating ethnographies of building and carpentry in Yemen, Mali and the UK, has trained in architecture and carpentry</w:t>
      </w:r>
      <w:r w:rsidR="00F43ED0" w:rsidRPr="00F42E76">
        <w:rPr>
          <w:sz w:val="24"/>
          <w:szCs w:val="24"/>
        </w:rPr>
        <w:t>.</w:t>
      </w:r>
      <w:r w:rsidR="00F43ED0" w:rsidRPr="00F42E76">
        <w:rPr>
          <w:rStyle w:val="EndnoteReference"/>
          <w:sz w:val="24"/>
          <w:szCs w:val="24"/>
        </w:rPr>
        <w:endnoteReference w:id="11"/>
      </w:r>
      <w:r w:rsidR="00142935" w:rsidRPr="00F42E76">
        <w:rPr>
          <w:sz w:val="24"/>
          <w:szCs w:val="24"/>
        </w:rPr>
        <w:t xml:space="preserve"> </w:t>
      </w:r>
      <w:r w:rsidR="00F43ED0" w:rsidRPr="00F42E76">
        <w:rPr>
          <w:sz w:val="24"/>
          <w:szCs w:val="24"/>
        </w:rPr>
        <w:t>O</w:t>
      </w:r>
      <w:r w:rsidR="00142935" w:rsidRPr="00F42E76">
        <w:rPr>
          <w:sz w:val="24"/>
          <w:szCs w:val="24"/>
        </w:rPr>
        <w:t xml:space="preserve">r that Richard Sennett, whose book </w:t>
      </w:r>
      <w:r w:rsidR="00142935" w:rsidRPr="00F42E76">
        <w:rPr>
          <w:i/>
          <w:sz w:val="24"/>
          <w:szCs w:val="24"/>
        </w:rPr>
        <w:t>The Craftsman</w:t>
      </w:r>
      <w:r w:rsidR="00142935" w:rsidRPr="00F42E76">
        <w:rPr>
          <w:sz w:val="24"/>
          <w:szCs w:val="24"/>
        </w:rPr>
        <w:t xml:space="preserve"> has had wide general appeal beyond the academy, has played the piano and the cello since childhood</w:t>
      </w:r>
      <w:r w:rsidR="00F43ED0" w:rsidRPr="00F42E76">
        <w:rPr>
          <w:sz w:val="24"/>
          <w:szCs w:val="24"/>
        </w:rPr>
        <w:t>.</w:t>
      </w:r>
      <w:r w:rsidR="00F43ED0" w:rsidRPr="00F42E76">
        <w:rPr>
          <w:rStyle w:val="EndnoteReference"/>
          <w:sz w:val="24"/>
          <w:szCs w:val="24"/>
        </w:rPr>
        <w:endnoteReference w:id="12"/>
      </w:r>
      <w:r w:rsidR="00142935" w:rsidRPr="00F42E76">
        <w:rPr>
          <w:sz w:val="24"/>
          <w:szCs w:val="24"/>
        </w:rPr>
        <w:t xml:space="preserve"> It is not a stretch to see that because </w:t>
      </w:r>
      <w:r w:rsidR="00142935" w:rsidRPr="00F42E76">
        <w:rPr>
          <w:i/>
          <w:sz w:val="24"/>
          <w:szCs w:val="24"/>
        </w:rPr>
        <w:t>we</w:t>
      </w:r>
      <w:r w:rsidR="00142935" w:rsidRPr="00F42E76">
        <w:rPr>
          <w:sz w:val="24"/>
          <w:szCs w:val="24"/>
        </w:rPr>
        <w:t xml:space="preserve"> find pleasure in skilled activity, we are interested in questions of skill itself and gravitate towards research participants who also take pleasure in their work. This synergy between researcher and </w:t>
      </w:r>
      <w:r w:rsidR="00142935" w:rsidRPr="00F42E76">
        <w:rPr>
          <w:sz w:val="24"/>
          <w:szCs w:val="24"/>
        </w:rPr>
        <w:lastRenderedPageBreak/>
        <w:t>participant has been extremely productive: apprenticeship and co-authorship have become important research strategies, part of what Tim Ingold describes as “knowing from the inside</w:t>
      </w:r>
      <w:r w:rsidR="005076B9" w:rsidRPr="00F42E76">
        <w:rPr>
          <w:sz w:val="24"/>
          <w:szCs w:val="24"/>
        </w:rPr>
        <w:t>.</w:t>
      </w:r>
      <w:r w:rsidR="00142935" w:rsidRPr="00F42E76">
        <w:rPr>
          <w:sz w:val="24"/>
          <w:szCs w:val="24"/>
        </w:rPr>
        <w:t>”</w:t>
      </w:r>
      <w:r w:rsidR="005076B9" w:rsidRPr="00F42E76">
        <w:rPr>
          <w:rStyle w:val="EndnoteReference"/>
          <w:sz w:val="24"/>
          <w:szCs w:val="24"/>
        </w:rPr>
        <w:endnoteReference w:id="13"/>
      </w:r>
      <w:r w:rsidR="00142935" w:rsidRPr="00F42E76">
        <w:rPr>
          <w:sz w:val="24"/>
          <w:szCs w:val="24"/>
        </w:rPr>
        <w:t xml:space="preserve"> </w:t>
      </w:r>
      <w:r w:rsidR="005076B9" w:rsidRPr="00F42E76">
        <w:rPr>
          <w:sz w:val="24"/>
          <w:szCs w:val="24"/>
        </w:rPr>
        <w:t xml:space="preserve">In </w:t>
      </w:r>
      <w:r w:rsidR="00142935" w:rsidRPr="00F42E76">
        <w:rPr>
          <w:sz w:val="24"/>
          <w:szCs w:val="24"/>
        </w:rPr>
        <w:t xml:space="preserve">working </w:t>
      </w:r>
      <w:r w:rsidR="005076B9" w:rsidRPr="00F42E76">
        <w:rPr>
          <w:sz w:val="24"/>
          <w:szCs w:val="24"/>
        </w:rPr>
        <w:t xml:space="preserve">alongside </w:t>
      </w:r>
      <w:r w:rsidR="00142935" w:rsidRPr="00F42E76">
        <w:rPr>
          <w:sz w:val="24"/>
          <w:szCs w:val="24"/>
        </w:rPr>
        <w:t>our research participants, rather than just observing their tasks, ethnographers</w:t>
      </w:r>
      <w:r w:rsidR="005076B9" w:rsidRPr="00F42E76">
        <w:rPr>
          <w:sz w:val="24"/>
          <w:szCs w:val="24"/>
        </w:rPr>
        <w:t xml:space="preserve"> of craft</w:t>
      </w:r>
      <w:r w:rsidR="00142935" w:rsidRPr="00F42E76">
        <w:rPr>
          <w:sz w:val="24"/>
          <w:szCs w:val="24"/>
        </w:rPr>
        <w:t xml:space="preserve"> have made important insights into the cognitive, didactic, embodied and moral processes through which objects </w:t>
      </w:r>
      <w:r w:rsidR="003931D3">
        <w:rPr>
          <w:sz w:val="24"/>
          <w:szCs w:val="24"/>
        </w:rPr>
        <w:t xml:space="preserve">and artisans </w:t>
      </w:r>
      <w:r w:rsidR="00142935" w:rsidRPr="00F42E76">
        <w:rPr>
          <w:sz w:val="24"/>
          <w:szCs w:val="24"/>
        </w:rPr>
        <w:t>come into being.</w:t>
      </w:r>
      <w:r w:rsidR="005076B9" w:rsidRPr="00F42E76">
        <w:rPr>
          <w:rStyle w:val="EndnoteReference"/>
          <w:sz w:val="24"/>
          <w:szCs w:val="24"/>
        </w:rPr>
        <w:endnoteReference w:id="14"/>
      </w:r>
      <w:r w:rsidR="00142935" w:rsidRPr="00F42E76">
        <w:rPr>
          <w:sz w:val="24"/>
          <w:szCs w:val="24"/>
        </w:rPr>
        <w:t xml:space="preserve"> </w:t>
      </w:r>
    </w:p>
    <w:p w14:paraId="15EA7273" w14:textId="77777777" w:rsidR="00327AE0" w:rsidRPr="00F42E76" w:rsidRDefault="00327AE0" w:rsidP="00142935">
      <w:pPr>
        <w:spacing w:line="480" w:lineRule="auto"/>
        <w:rPr>
          <w:sz w:val="24"/>
          <w:szCs w:val="24"/>
        </w:rPr>
      </w:pPr>
    </w:p>
    <w:p w14:paraId="5E3557D4" w14:textId="77777777" w:rsidR="00E718F0" w:rsidRPr="00F42E76" w:rsidRDefault="00142935" w:rsidP="00142935">
      <w:pPr>
        <w:spacing w:line="480" w:lineRule="auto"/>
        <w:rPr>
          <w:sz w:val="24"/>
          <w:szCs w:val="24"/>
        </w:rPr>
      </w:pPr>
      <w:r w:rsidRPr="00F42E76">
        <w:rPr>
          <w:sz w:val="24"/>
          <w:szCs w:val="24"/>
        </w:rPr>
        <w:t>This emphasis on “making,” rather than production, has been analytically as well as methodologically fruitful. It has allowed us to pry apart questions of materials from materialit</w:t>
      </w:r>
      <w:r w:rsidR="00DD35D9" w:rsidRPr="00F42E76">
        <w:rPr>
          <w:sz w:val="24"/>
          <w:szCs w:val="24"/>
        </w:rPr>
        <w:t>y</w:t>
      </w:r>
      <w:r w:rsidR="00191D07" w:rsidRPr="00F42E76">
        <w:rPr>
          <w:sz w:val="24"/>
          <w:szCs w:val="24"/>
        </w:rPr>
        <w:t>;</w:t>
      </w:r>
      <w:r w:rsidRPr="00F42E76">
        <w:rPr>
          <w:sz w:val="24"/>
          <w:szCs w:val="24"/>
        </w:rPr>
        <w:t xml:space="preserve"> authorship from </w:t>
      </w:r>
      <w:r w:rsidR="00224721" w:rsidRPr="00F42E76">
        <w:rPr>
          <w:sz w:val="24"/>
          <w:szCs w:val="24"/>
        </w:rPr>
        <w:t>production</w:t>
      </w:r>
      <w:r w:rsidRPr="00F42E76">
        <w:rPr>
          <w:sz w:val="24"/>
          <w:szCs w:val="24"/>
        </w:rPr>
        <w:t xml:space="preserve">; and the larger social </w:t>
      </w:r>
      <w:r w:rsidR="00DD35D9" w:rsidRPr="00F42E76">
        <w:rPr>
          <w:sz w:val="24"/>
          <w:szCs w:val="24"/>
        </w:rPr>
        <w:t>experiences</w:t>
      </w:r>
      <w:r w:rsidRPr="00F42E76">
        <w:rPr>
          <w:sz w:val="24"/>
          <w:szCs w:val="24"/>
        </w:rPr>
        <w:t xml:space="preserve"> of artisanship from the </w:t>
      </w:r>
      <w:r w:rsidRPr="00F42E76">
        <w:rPr>
          <w:i/>
          <w:sz w:val="24"/>
          <w:szCs w:val="24"/>
        </w:rPr>
        <w:t>chaîne opératoire</w:t>
      </w:r>
      <w:r w:rsidRPr="00F42E76">
        <w:rPr>
          <w:sz w:val="24"/>
          <w:szCs w:val="24"/>
        </w:rPr>
        <w:t>.</w:t>
      </w:r>
      <w:r w:rsidR="00DD35D9" w:rsidRPr="00F42E76">
        <w:rPr>
          <w:rStyle w:val="EndnoteReference"/>
          <w:sz w:val="24"/>
          <w:szCs w:val="24"/>
        </w:rPr>
        <w:endnoteReference w:id="15"/>
      </w:r>
      <w:r w:rsidRPr="00F42E76">
        <w:rPr>
          <w:sz w:val="24"/>
          <w:szCs w:val="24"/>
        </w:rPr>
        <w:t xml:space="preserve"> The downside to such an approach is that </w:t>
      </w:r>
      <w:r w:rsidR="002A639D" w:rsidRPr="00F42E76">
        <w:rPr>
          <w:sz w:val="24"/>
          <w:szCs w:val="24"/>
        </w:rPr>
        <w:t>the majority</w:t>
      </w:r>
      <w:r w:rsidRPr="00F42E76">
        <w:rPr>
          <w:sz w:val="24"/>
          <w:szCs w:val="24"/>
        </w:rPr>
        <w:t xml:space="preserve"> of current research has been about people who </w:t>
      </w:r>
      <w:r w:rsidRPr="00F42E76">
        <w:rPr>
          <w:i/>
          <w:sz w:val="24"/>
          <w:szCs w:val="24"/>
        </w:rPr>
        <w:t>want</w:t>
      </w:r>
      <w:r w:rsidRPr="00F42E76">
        <w:rPr>
          <w:sz w:val="24"/>
          <w:szCs w:val="24"/>
        </w:rPr>
        <w:t xml:space="preserve"> to cultivate their skills and who enjoy doing their work.</w:t>
      </w:r>
      <w:r w:rsidR="00A37D58" w:rsidRPr="00F42E76">
        <w:rPr>
          <w:rStyle w:val="EndnoteReference"/>
          <w:sz w:val="24"/>
          <w:szCs w:val="24"/>
        </w:rPr>
        <w:endnoteReference w:id="16"/>
      </w:r>
      <w:r w:rsidRPr="00F42E76">
        <w:rPr>
          <w:sz w:val="24"/>
          <w:szCs w:val="24"/>
        </w:rPr>
        <w:t xml:space="preserve"> </w:t>
      </w:r>
      <w:r w:rsidR="00000322" w:rsidRPr="00F42E76">
        <w:rPr>
          <w:sz w:val="24"/>
          <w:szCs w:val="24"/>
        </w:rPr>
        <w:t xml:space="preserve">For example, </w:t>
      </w:r>
      <w:r w:rsidRPr="00F42E76">
        <w:rPr>
          <w:sz w:val="24"/>
          <w:szCs w:val="24"/>
        </w:rPr>
        <w:t xml:space="preserve">Sennett argues near the end of </w:t>
      </w:r>
      <w:r w:rsidRPr="00F42E76">
        <w:rPr>
          <w:i/>
          <w:sz w:val="24"/>
          <w:szCs w:val="24"/>
        </w:rPr>
        <w:t>The Craftsman</w:t>
      </w:r>
      <w:r w:rsidRPr="00F42E76">
        <w:rPr>
          <w:sz w:val="24"/>
          <w:szCs w:val="24"/>
        </w:rPr>
        <w:t xml:space="preserve"> that nearly anyone can become a good craftsperson with sufficient work and attention, without ever asking in what circumstances people may not </w:t>
      </w:r>
      <w:r w:rsidR="00116F5E" w:rsidRPr="00F42E76">
        <w:rPr>
          <w:sz w:val="24"/>
          <w:szCs w:val="24"/>
        </w:rPr>
        <w:t>be able, or even want, to</w:t>
      </w:r>
      <w:r w:rsidR="00224721" w:rsidRPr="00F42E76">
        <w:rPr>
          <w:sz w:val="24"/>
          <w:szCs w:val="24"/>
        </w:rPr>
        <w:t xml:space="preserve"> </w:t>
      </w:r>
      <w:r w:rsidRPr="00F42E76">
        <w:rPr>
          <w:sz w:val="24"/>
          <w:szCs w:val="24"/>
        </w:rPr>
        <w:t>do so.</w:t>
      </w:r>
      <w:r w:rsidR="00224721" w:rsidRPr="00F42E76">
        <w:rPr>
          <w:rStyle w:val="EndnoteReference"/>
          <w:sz w:val="24"/>
          <w:szCs w:val="24"/>
        </w:rPr>
        <w:endnoteReference w:id="17"/>
      </w:r>
      <w:r w:rsidR="00116F5E" w:rsidRPr="00F42E76">
        <w:rPr>
          <w:sz w:val="24"/>
          <w:szCs w:val="24"/>
        </w:rPr>
        <w:t xml:space="preserve"> </w:t>
      </w:r>
      <w:r w:rsidRPr="00F42E76">
        <w:rPr>
          <w:sz w:val="24"/>
          <w:szCs w:val="24"/>
        </w:rPr>
        <w:t xml:space="preserve">For Sennett, the opposite of skill is </w:t>
      </w:r>
      <w:r w:rsidR="00116F5E" w:rsidRPr="00F42E76">
        <w:rPr>
          <w:sz w:val="24"/>
          <w:szCs w:val="24"/>
        </w:rPr>
        <w:t xml:space="preserve">not an absence of skill, but </w:t>
      </w:r>
      <w:r w:rsidRPr="00F42E76">
        <w:rPr>
          <w:sz w:val="24"/>
          <w:szCs w:val="24"/>
        </w:rPr>
        <w:t xml:space="preserve">the </w:t>
      </w:r>
      <w:r w:rsidRPr="00F42E76">
        <w:rPr>
          <w:i/>
          <w:sz w:val="24"/>
          <w:szCs w:val="24"/>
        </w:rPr>
        <w:t>coup de foudre</w:t>
      </w:r>
      <w:r w:rsidRPr="00F42E76">
        <w:rPr>
          <w:sz w:val="24"/>
          <w:szCs w:val="24"/>
        </w:rPr>
        <w:t>, the sudden inspiration.</w:t>
      </w:r>
      <w:r w:rsidR="00116F5E" w:rsidRPr="00F42E76">
        <w:rPr>
          <w:rStyle w:val="EndnoteReference"/>
          <w:sz w:val="24"/>
          <w:szCs w:val="24"/>
        </w:rPr>
        <w:endnoteReference w:id="18"/>
      </w:r>
      <w:r w:rsidRPr="00F42E76">
        <w:rPr>
          <w:sz w:val="24"/>
          <w:szCs w:val="24"/>
        </w:rPr>
        <w:t xml:space="preserve"> </w:t>
      </w:r>
      <w:r w:rsidR="00000322" w:rsidRPr="00F42E76">
        <w:rPr>
          <w:sz w:val="24"/>
          <w:szCs w:val="24"/>
        </w:rPr>
        <w:t>T</w:t>
      </w:r>
      <w:r w:rsidR="00116F5E" w:rsidRPr="00F42E76">
        <w:rPr>
          <w:sz w:val="24"/>
          <w:szCs w:val="24"/>
        </w:rPr>
        <w:t>his position is</w:t>
      </w:r>
      <w:r w:rsidR="00000322" w:rsidRPr="00F42E76">
        <w:rPr>
          <w:sz w:val="24"/>
          <w:szCs w:val="24"/>
        </w:rPr>
        <w:t>, in a sense,</w:t>
      </w:r>
      <w:r w:rsidR="00116F5E" w:rsidRPr="00F42E76">
        <w:rPr>
          <w:sz w:val="24"/>
          <w:szCs w:val="24"/>
        </w:rPr>
        <w:t xml:space="preserve"> tautological, since both of these conditions assume an end-result of quality work and satisfaction for the maker</w:t>
      </w:r>
      <w:r w:rsidR="00000322" w:rsidRPr="00F42E76">
        <w:rPr>
          <w:sz w:val="24"/>
          <w:szCs w:val="24"/>
        </w:rPr>
        <w:t xml:space="preserve"> (albeit by different paths); in choosing cases to study </w:t>
      </w:r>
      <w:r w:rsidR="002A639D" w:rsidRPr="00F42E76">
        <w:rPr>
          <w:sz w:val="24"/>
          <w:szCs w:val="24"/>
        </w:rPr>
        <w:t xml:space="preserve">the nature of </w:t>
      </w:r>
      <w:r w:rsidR="00000322" w:rsidRPr="000B5A0A">
        <w:rPr>
          <w:sz w:val="24"/>
          <w:szCs w:val="24"/>
        </w:rPr>
        <w:t>craftsmanship, Sennet</w:t>
      </w:r>
      <w:r w:rsidR="006D399E" w:rsidRPr="000B5A0A">
        <w:rPr>
          <w:sz w:val="24"/>
          <w:szCs w:val="24"/>
        </w:rPr>
        <w:t>t</w:t>
      </w:r>
      <w:r w:rsidR="00000322" w:rsidRPr="000B5A0A">
        <w:rPr>
          <w:sz w:val="24"/>
          <w:szCs w:val="24"/>
        </w:rPr>
        <w:t xml:space="preserve"> only</w:t>
      </w:r>
      <w:r w:rsidR="00000322" w:rsidRPr="00F42E76">
        <w:rPr>
          <w:sz w:val="24"/>
          <w:szCs w:val="24"/>
        </w:rPr>
        <w:t xml:space="preserve"> compares examples where craftsmanship is already evident</w:t>
      </w:r>
      <w:r w:rsidR="002A639D" w:rsidRPr="00F42E76">
        <w:rPr>
          <w:sz w:val="24"/>
          <w:szCs w:val="24"/>
        </w:rPr>
        <w:t xml:space="preserve"> to him</w:t>
      </w:r>
      <w:r w:rsidR="00000322" w:rsidRPr="00F42E76">
        <w:rPr>
          <w:sz w:val="24"/>
          <w:szCs w:val="24"/>
        </w:rPr>
        <w:t xml:space="preserve">. </w:t>
      </w:r>
    </w:p>
    <w:p w14:paraId="3F7746BE" w14:textId="77777777" w:rsidR="00E718F0" w:rsidRPr="00F42E76" w:rsidRDefault="00E718F0" w:rsidP="000A0568">
      <w:pPr>
        <w:spacing w:line="480" w:lineRule="auto"/>
        <w:rPr>
          <w:sz w:val="24"/>
          <w:szCs w:val="24"/>
        </w:rPr>
      </w:pPr>
    </w:p>
    <w:p w14:paraId="5DE1C1FC" w14:textId="22D23995" w:rsidR="00795639" w:rsidRPr="00F42E76" w:rsidRDefault="00937514" w:rsidP="000A0568">
      <w:pPr>
        <w:spacing w:line="480" w:lineRule="auto"/>
        <w:rPr>
          <w:sz w:val="24"/>
          <w:szCs w:val="24"/>
        </w:rPr>
      </w:pPr>
      <w:r w:rsidRPr="00F42E76">
        <w:rPr>
          <w:sz w:val="24"/>
          <w:szCs w:val="24"/>
        </w:rPr>
        <w:t xml:space="preserve">A similar </w:t>
      </w:r>
      <w:r w:rsidR="002535DE" w:rsidRPr="00F42E76">
        <w:rPr>
          <w:sz w:val="24"/>
          <w:szCs w:val="24"/>
        </w:rPr>
        <w:t>ethic</w:t>
      </w:r>
      <w:r w:rsidRPr="00F42E76">
        <w:rPr>
          <w:sz w:val="24"/>
          <w:szCs w:val="24"/>
        </w:rPr>
        <w:t xml:space="preserve">al position to that of craftsmanship </w:t>
      </w:r>
      <w:r w:rsidR="000D2C28" w:rsidRPr="00F42E76">
        <w:rPr>
          <w:sz w:val="24"/>
          <w:szCs w:val="24"/>
        </w:rPr>
        <w:t xml:space="preserve">discourses </w:t>
      </w:r>
      <w:r w:rsidR="002535DE" w:rsidRPr="00F42E76">
        <w:rPr>
          <w:sz w:val="24"/>
          <w:szCs w:val="24"/>
        </w:rPr>
        <w:t>is also at the heart of the</w:t>
      </w:r>
      <w:r w:rsidR="00946855" w:rsidRPr="00F42E76">
        <w:rPr>
          <w:sz w:val="24"/>
          <w:szCs w:val="24"/>
        </w:rPr>
        <w:t xml:space="preserve"> diverse</w:t>
      </w:r>
      <w:r w:rsidR="002535DE" w:rsidRPr="00F42E76">
        <w:rPr>
          <w:sz w:val="24"/>
          <w:szCs w:val="24"/>
        </w:rPr>
        <w:t xml:space="preserve"> </w:t>
      </w:r>
      <w:r w:rsidR="00946855" w:rsidRPr="00F42E76">
        <w:rPr>
          <w:sz w:val="24"/>
          <w:szCs w:val="24"/>
        </w:rPr>
        <w:t>analytical approaches</w:t>
      </w:r>
      <w:r w:rsidR="002535DE" w:rsidRPr="00F42E76">
        <w:rPr>
          <w:sz w:val="24"/>
          <w:szCs w:val="24"/>
        </w:rPr>
        <w:t xml:space="preserve"> that </w:t>
      </w:r>
      <w:r w:rsidR="00946855" w:rsidRPr="00F42E76">
        <w:rPr>
          <w:sz w:val="24"/>
          <w:szCs w:val="24"/>
        </w:rPr>
        <w:t>are</w:t>
      </w:r>
      <w:r w:rsidR="002535DE" w:rsidRPr="00F42E76">
        <w:rPr>
          <w:sz w:val="24"/>
          <w:szCs w:val="24"/>
        </w:rPr>
        <w:t xml:space="preserve"> now captured under the term “</w:t>
      </w:r>
      <w:r w:rsidR="00850008" w:rsidRPr="00F42E76">
        <w:rPr>
          <w:sz w:val="24"/>
          <w:szCs w:val="24"/>
        </w:rPr>
        <w:t>community of practice</w:t>
      </w:r>
      <w:r w:rsidR="00753C47" w:rsidRPr="00F42E76">
        <w:rPr>
          <w:sz w:val="24"/>
          <w:szCs w:val="24"/>
        </w:rPr>
        <w:t>,</w:t>
      </w:r>
      <w:r w:rsidR="002535DE" w:rsidRPr="00F42E76">
        <w:rPr>
          <w:sz w:val="24"/>
          <w:szCs w:val="24"/>
        </w:rPr>
        <w:t>”</w:t>
      </w:r>
      <w:r w:rsidR="00753C47" w:rsidRPr="00F42E76">
        <w:rPr>
          <w:sz w:val="24"/>
          <w:szCs w:val="24"/>
        </w:rPr>
        <w:t xml:space="preserve"> or CoP.</w:t>
      </w:r>
      <w:r w:rsidR="00946855" w:rsidRPr="00F42E76">
        <w:rPr>
          <w:rStyle w:val="EndnoteReference"/>
          <w:sz w:val="24"/>
          <w:szCs w:val="24"/>
        </w:rPr>
        <w:endnoteReference w:id="19"/>
      </w:r>
      <w:r w:rsidR="00850008" w:rsidRPr="00F42E76">
        <w:rPr>
          <w:sz w:val="24"/>
          <w:szCs w:val="24"/>
        </w:rPr>
        <w:t xml:space="preserve"> </w:t>
      </w:r>
      <w:r w:rsidR="002535DE" w:rsidRPr="00F42E76">
        <w:rPr>
          <w:sz w:val="24"/>
          <w:szCs w:val="24"/>
        </w:rPr>
        <w:t xml:space="preserve">In the past thirty years, </w:t>
      </w:r>
      <w:r w:rsidR="00795639" w:rsidRPr="00F42E76">
        <w:rPr>
          <w:sz w:val="24"/>
          <w:szCs w:val="24"/>
        </w:rPr>
        <w:t>CoP</w:t>
      </w:r>
      <w:r w:rsidR="002535DE" w:rsidRPr="00F42E76">
        <w:rPr>
          <w:sz w:val="24"/>
          <w:szCs w:val="24"/>
        </w:rPr>
        <w:t xml:space="preserve"> </w:t>
      </w:r>
      <w:r w:rsidR="00850008" w:rsidRPr="00F42E76">
        <w:rPr>
          <w:sz w:val="24"/>
          <w:szCs w:val="24"/>
        </w:rPr>
        <w:t xml:space="preserve">has </w:t>
      </w:r>
      <w:r w:rsidR="00AD0E6C" w:rsidRPr="00F42E76">
        <w:rPr>
          <w:sz w:val="24"/>
          <w:szCs w:val="24"/>
        </w:rPr>
        <w:t xml:space="preserve">become a foundational concept through </w:t>
      </w:r>
      <w:r w:rsidR="00AD0E6C" w:rsidRPr="00F42E76">
        <w:rPr>
          <w:sz w:val="24"/>
          <w:szCs w:val="24"/>
        </w:rPr>
        <w:lastRenderedPageBreak/>
        <w:t>which scholars of craft understand the</w:t>
      </w:r>
      <w:r w:rsidR="008E184B" w:rsidRPr="00F42E76">
        <w:rPr>
          <w:sz w:val="24"/>
          <w:szCs w:val="24"/>
        </w:rPr>
        <w:t xml:space="preserve"> experience</w:t>
      </w:r>
      <w:r w:rsidR="00472032" w:rsidRPr="00F42E76">
        <w:rPr>
          <w:sz w:val="24"/>
          <w:szCs w:val="24"/>
        </w:rPr>
        <w:t xml:space="preserve"> of </w:t>
      </w:r>
      <w:r w:rsidR="001D318E" w:rsidRPr="00F42E76">
        <w:rPr>
          <w:sz w:val="24"/>
          <w:szCs w:val="24"/>
        </w:rPr>
        <w:t>mutual participation</w:t>
      </w:r>
      <w:r w:rsidR="00AD0E6C" w:rsidRPr="00F42E76">
        <w:rPr>
          <w:sz w:val="24"/>
          <w:szCs w:val="24"/>
        </w:rPr>
        <w:t xml:space="preserve"> that develop</w:t>
      </w:r>
      <w:r w:rsidR="006D0E3B" w:rsidRPr="00F42E76">
        <w:rPr>
          <w:sz w:val="24"/>
          <w:szCs w:val="24"/>
        </w:rPr>
        <w:t>s</w:t>
      </w:r>
      <w:r w:rsidR="00AD0E6C" w:rsidRPr="00F42E76">
        <w:rPr>
          <w:sz w:val="24"/>
          <w:szCs w:val="24"/>
        </w:rPr>
        <w:t xml:space="preserve"> among people as they learn, make and create together. </w:t>
      </w:r>
      <w:r w:rsidR="006647B5" w:rsidRPr="00F42E76">
        <w:rPr>
          <w:sz w:val="24"/>
          <w:szCs w:val="24"/>
        </w:rPr>
        <w:t xml:space="preserve">As a theory of skill acquisition through collective experience, CoP is certainly not limited to the study of craft: it has been applied to such diverse </w:t>
      </w:r>
      <w:r w:rsidR="008E184B" w:rsidRPr="00F42E76">
        <w:rPr>
          <w:sz w:val="24"/>
          <w:szCs w:val="24"/>
        </w:rPr>
        <w:t>groups of people</w:t>
      </w:r>
      <w:r w:rsidR="006647B5" w:rsidRPr="00F42E76">
        <w:rPr>
          <w:sz w:val="24"/>
          <w:szCs w:val="24"/>
        </w:rPr>
        <w:t xml:space="preserve"> as</w:t>
      </w:r>
      <w:r w:rsidR="00AB01D6" w:rsidRPr="00F42E76">
        <w:rPr>
          <w:sz w:val="24"/>
          <w:szCs w:val="24"/>
        </w:rPr>
        <w:t xml:space="preserve"> science teachers</w:t>
      </w:r>
      <w:r w:rsidR="008E184B" w:rsidRPr="00F42E76">
        <w:rPr>
          <w:sz w:val="24"/>
          <w:szCs w:val="24"/>
        </w:rPr>
        <w:t xml:space="preserve">, </w:t>
      </w:r>
      <w:r w:rsidR="00AB01D6" w:rsidRPr="00F42E76">
        <w:rPr>
          <w:sz w:val="24"/>
          <w:szCs w:val="24"/>
        </w:rPr>
        <w:t>public administrat</w:t>
      </w:r>
      <w:r w:rsidR="008E184B" w:rsidRPr="00F42E76">
        <w:rPr>
          <w:sz w:val="24"/>
          <w:szCs w:val="24"/>
        </w:rPr>
        <w:t>ors</w:t>
      </w:r>
      <w:r w:rsidR="009F5351" w:rsidRPr="00F42E76">
        <w:rPr>
          <w:sz w:val="24"/>
          <w:szCs w:val="24"/>
        </w:rPr>
        <w:t>,</w:t>
      </w:r>
      <w:r w:rsidR="006647B5" w:rsidRPr="00F42E76">
        <w:rPr>
          <w:sz w:val="24"/>
          <w:szCs w:val="24"/>
        </w:rPr>
        <w:t xml:space="preserve"> </w:t>
      </w:r>
      <w:r w:rsidR="00AB01D6" w:rsidRPr="00F42E76">
        <w:rPr>
          <w:sz w:val="24"/>
          <w:szCs w:val="24"/>
        </w:rPr>
        <w:t>and</w:t>
      </w:r>
      <w:r w:rsidR="000B5A0A">
        <w:rPr>
          <w:sz w:val="24"/>
          <w:szCs w:val="24"/>
        </w:rPr>
        <w:t xml:space="preserve"> </w:t>
      </w:r>
      <w:r w:rsidR="00AB01D6" w:rsidRPr="00F42E76">
        <w:rPr>
          <w:sz w:val="24"/>
          <w:szCs w:val="24"/>
        </w:rPr>
        <w:t xml:space="preserve">American </w:t>
      </w:r>
      <w:r w:rsidR="00753C47" w:rsidRPr="00F42E76">
        <w:rPr>
          <w:sz w:val="24"/>
          <w:szCs w:val="24"/>
        </w:rPr>
        <w:t>“</w:t>
      </w:r>
      <w:r w:rsidR="00AB01D6" w:rsidRPr="00F42E76">
        <w:rPr>
          <w:sz w:val="24"/>
          <w:szCs w:val="24"/>
        </w:rPr>
        <w:t>nerd girls</w:t>
      </w:r>
      <w:r w:rsidR="00753C47" w:rsidRPr="00F42E76">
        <w:rPr>
          <w:sz w:val="24"/>
          <w:szCs w:val="24"/>
        </w:rPr>
        <w:t>.”</w:t>
      </w:r>
      <w:r w:rsidR="00472032" w:rsidRPr="00F42E76">
        <w:rPr>
          <w:rStyle w:val="EndnoteReference"/>
          <w:sz w:val="24"/>
          <w:szCs w:val="24"/>
        </w:rPr>
        <w:endnoteReference w:id="20"/>
      </w:r>
      <w:r w:rsidR="00472032" w:rsidRPr="00F42E76">
        <w:rPr>
          <w:sz w:val="24"/>
          <w:szCs w:val="24"/>
        </w:rPr>
        <w:t xml:space="preserve"> Coined by cognitive anthropologist Jean Lave and educational theorist Etienne Wenger in 1991, the term describe</w:t>
      </w:r>
      <w:r w:rsidR="009F5351" w:rsidRPr="00F42E76">
        <w:rPr>
          <w:sz w:val="24"/>
          <w:szCs w:val="24"/>
        </w:rPr>
        <w:t>s</w:t>
      </w:r>
      <w:r w:rsidR="00472032" w:rsidRPr="00F42E76">
        <w:rPr>
          <w:sz w:val="24"/>
          <w:szCs w:val="24"/>
        </w:rPr>
        <w:t xml:space="preserve"> people who are engaged </w:t>
      </w:r>
      <w:r w:rsidR="00946855" w:rsidRPr="00F42E76">
        <w:rPr>
          <w:sz w:val="24"/>
          <w:szCs w:val="24"/>
        </w:rPr>
        <w:t>“</w:t>
      </w:r>
      <w:r w:rsidR="00472032" w:rsidRPr="00F42E76">
        <w:rPr>
          <w:sz w:val="24"/>
          <w:szCs w:val="24"/>
        </w:rPr>
        <w:t>in an activity system about which participants share understandings concerning what they are doing and what that means for their lives and for their communities.</w:t>
      </w:r>
      <w:r w:rsidR="00946855" w:rsidRPr="00F42E76">
        <w:rPr>
          <w:sz w:val="24"/>
          <w:szCs w:val="24"/>
        </w:rPr>
        <w:t>”</w:t>
      </w:r>
      <w:r w:rsidR="00472032" w:rsidRPr="00F42E76">
        <w:rPr>
          <w:rStyle w:val="EndnoteReference"/>
          <w:sz w:val="24"/>
          <w:szCs w:val="24"/>
        </w:rPr>
        <w:endnoteReference w:id="21"/>
      </w:r>
      <w:r w:rsidR="00472032" w:rsidRPr="00F42E76">
        <w:rPr>
          <w:sz w:val="24"/>
          <w:szCs w:val="24"/>
        </w:rPr>
        <w:t xml:space="preserve"> </w:t>
      </w:r>
      <w:r w:rsidR="000460C0" w:rsidRPr="00F42E76">
        <w:rPr>
          <w:sz w:val="24"/>
          <w:szCs w:val="24"/>
        </w:rPr>
        <w:t xml:space="preserve">The utility of the concept for social theorists lies in the way it links an understanding of human relationships and sociality to a broadly conceived view of learning, </w:t>
      </w:r>
      <w:r w:rsidR="00795639" w:rsidRPr="00F42E76">
        <w:rPr>
          <w:sz w:val="24"/>
          <w:szCs w:val="24"/>
        </w:rPr>
        <w:t>one that</w:t>
      </w:r>
      <w:r w:rsidR="000460C0" w:rsidRPr="00F42E76">
        <w:rPr>
          <w:sz w:val="24"/>
          <w:szCs w:val="24"/>
        </w:rPr>
        <w:t xml:space="preserve"> extends well beyond formal classroom</w:t>
      </w:r>
      <w:r w:rsidR="00795639" w:rsidRPr="00F42E76">
        <w:rPr>
          <w:sz w:val="24"/>
          <w:szCs w:val="24"/>
        </w:rPr>
        <w:t>-</w:t>
      </w:r>
      <w:r w:rsidR="000460C0" w:rsidRPr="00F42E76">
        <w:rPr>
          <w:sz w:val="24"/>
          <w:szCs w:val="24"/>
        </w:rPr>
        <w:t>like situations</w:t>
      </w:r>
      <w:r w:rsidR="00795639" w:rsidRPr="00F42E76">
        <w:rPr>
          <w:sz w:val="24"/>
          <w:szCs w:val="24"/>
        </w:rPr>
        <w:t xml:space="preserve"> where</w:t>
      </w:r>
      <w:r w:rsidR="000460C0" w:rsidRPr="00F42E76">
        <w:rPr>
          <w:sz w:val="24"/>
          <w:szCs w:val="24"/>
        </w:rPr>
        <w:t xml:space="preserve"> individuals occupy clearly defined teaching and learning roles. I</w:t>
      </w:r>
      <w:r w:rsidR="00795639" w:rsidRPr="00F42E76">
        <w:rPr>
          <w:sz w:val="24"/>
          <w:szCs w:val="24"/>
        </w:rPr>
        <w:t>nstead, i</w:t>
      </w:r>
      <w:r w:rsidR="000460C0" w:rsidRPr="00F42E76">
        <w:rPr>
          <w:sz w:val="24"/>
          <w:szCs w:val="24"/>
        </w:rPr>
        <w:t>t capture</w:t>
      </w:r>
      <w:r w:rsidR="00795639" w:rsidRPr="00F42E76">
        <w:rPr>
          <w:sz w:val="24"/>
          <w:szCs w:val="24"/>
        </w:rPr>
        <w:t>s</w:t>
      </w:r>
      <w:r w:rsidR="000460C0" w:rsidRPr="00F42E76">
        <w:rPr>
          <w:sz w:val="24"/>
          <w:szCs w:val="24"/>
        </w:rPr>
        <w:t xml:space="preserve"> how people are brought together by a specific need, </w:t>
      </w:r>
      <w:r w:rsidR="00795639" w:rsidRPr="00F42E76">
        <w:rPr>
          <w:sz w:val="24"/>
          <w:szCs w:val="24"/>
        </w:rPr>
        <w:t xml:space="preserve">and how </w:t>
      </w:r>
      <w:r w:rsidR="000D2C28" w:rsidRPr="00F42E76">
        <w:rPr>
          <w:sz w:val="24"/>
          <w:szCs w:val="24"/>
        </w:rPr>
        <w:t xml:space="preserve">their work </w:t>
      </w:r>
      <w:r w:rsidR="00795639" w:rsidRPr="00F42E76">
        <w:rPr>
          <w:sz w:val="24"/>
          <w:szCs w:val="24"/>
        </w:rPr>
        <w:t xml:space="preserve">to resolve this need through collective learning creates bonds between </w:t>
      </w:r>
      <w:r w:rsidR="000D2C28" w:rsidRPr="00F42E76">
        <w:rPr>
          <w:sz w:val="24"/>
          <w:szCs w:val="24"/>
        </w:rPr>
        <w:t xml:space="preserve">them </w:t>
      </w:r>
      <w:r w:rsidR="00795639" w:rsidRPr="00F42E76">
        <w:rPr>
          <w:sz w:val="24"/>
          <w:szCs w:val="24"/>
        </w:rPr>
        <w:t>over time (causing them to become a “community”). The model then goes on to explore how these learning experiences and bonds of belonging dramatically influence the</w:t>
      </w:r>
      <w:r w:rsidR="00812373" w:rsidRPr="00F42E76">
        <w:rPr>
          <w:sz w:val="24"/>
          <w:szCs w:val="24"/>
        </w:rPr>
        <w:t xml:space="preserve"> collective and individual</w:t>
      </w:r>
      <w:r w:rsidR="00795639" w:rsidRPr="00F42E76">
        <w:rPr>
          <w:sz w:val="24"/>
          <w:szCs w:val="24"/>
        </w:rPr>
        <w:t xml:space="preserve"> practices of “community” members.</w:t>
      </w:r>
      <w:r w:rsidR="00812373" w:rsidRPr="00F42E76">
        <w:rPr>
          <w:rStyle w:val="EndnoteReference"/>
          <w:sz w:val="24"/>
          <w:szCs w:val="24"/>
        </w:rPr>
        <w:endnoteReference w:id="22"/>
      </w:r>
    </w:p>
    <w:p w14:paraId="38DBCE05" w14:textId="77777777" w:rsidR="00795639" w:rsidRPr="00F42E76" w:rsidRDefault="00795639" w:rsidP="000A0568">
      <w:pPr>
        <w:spacing w:line="480" w:lineRule="auto"/>
        <w:rPr>
          <w:sz w:val="24"/>
          <w:szCs w:val="24"/>
        </w:rPr>
      </w:pPr>
    </w:p>
    <w:p w14:paraId="637B57C0" w14:textId="77777777" w:rsidR="00A12728" w:rsidRPr="00F42E76" w:rsidRDefault="00753C47" w:rsidP="000A0568">
      <w:pPr>
        <w:spacing w:line="480" w:lineRule="auto"/>
        <w:rPr>
          <w:sz w:val="24"/>
          <w:szCs w:val="24"/>
        </w:rPr>
      </w:pPr>
      <w:r w:rsidRPr="00F42E76">
        <w:rPr>
          <w:sz w:val="24"/>
          <w:szCs w:val="24"/>
        </w:rPr>
        <w:t>Although Lave and Wenger recogni</w:t>
      </w:r>
      <w:r w:rsidR="00F10A58" w:rsidRPr="00F42E76">
        <w:rPr>
          <w:sz w:val="24"/>
          <w:szCs w:val="24"/>
        </w:rPr>
        <w:t>s</w:t>
      </w:r>
      <w:r w:rsidRPr="00F42E76">
        <w:rPr>
          <w:sz w:val="24"/>
          <w:szCs w:val="24"/>
        </w:rPr>
        <w:t xml:space="preserve">e that power and “conditions of legitimacy” play a role in how communities of practice </w:t>
      </w:r>
      <w:r w:rsidR="00607BE2" w:rsidRPr="00F42E76">
        <w:rPr>
          <w:sz w:val="24"/>
          <w:szCs w:val="24"/>
        </w:rPr>
        <w:t xml:space="preserve">develop and change over time, as William Warner Wood has discussed, they </w:t>
      </w:r>
      <w:r w:rsidR="00795639" w:rsidRPr="00F42E76">
        <w:rPr>
          <w:sz w:val="24"/>
          <w:szCs w:val="24"/>
        </w:rPr>
        <w:t xml:space="preserve">have </w:t>
      </w:r>
      <w:r w:rsidR="00607BE2" w:rsidRPr="00F42E76">
        <w:rPr>
          <w:sz w:val="24"/>
          <w:szCs w:val="24"/>
        </w:rPr>
        <w:t xml:space="preserve">not </w:t>
      </w:r>
      <w:r w:rsidR="00795639" w:rsidRPr="00F42E76">
        <w:rPr>
          <w:sz w:val="24"/>
          <w:szCs w:val="24"/>
        </w:rPr>
        <w:t>investigated</w:t>
      </w:r>
      <w:r w:rsidR="00607BE2" w:rsidRPr="00F42E76">
        <w:rPr>
          <w:sz w:val="24"/>
          <w:szCs w:val="24"/>
        </w:rPr>
        <w:t xml:space="preserve"> the implications</w:t>
      </w:r>
      <w:r w:rsidR="000D2C28" w:rsidRPr="00F42E76">
        <w:rPr>
          <w:sz w:val="24"/>
          <w:szCs w:val="24"/>
        </w:rPr>
        <w:t xml:space="preserve"> of these</w:t>
      </w:r>
      <w:r w:rsidR="00607BE2" w:rsidRPr="00F42E76">
        <w:rPr>
          <w:sz w:val="24"/>
          <w:szCs w:val="24"/>
        </w:rPr>
        <w:t xml:space="preserve"> for their model.</w:t>
      </w:r>
      <w:r w:rsidR="00607BE2" w:rsidRPr="00F42E76">
        <w:rPr>
          <w:rStyle w:val="EndnoteReference"/>
          <w:sz w:val="24"/>
          <w:szCs w:val="24"/>
        </w:rPr>
        <w:endnoteReference w:id="23"/>
      </w:r>
      <w:r w:rsidR="00607BE2" w:rsidRPr="00F42E76">
        <w:rPr>
          <w:sz w:val="24"/>
          <w:szCs w:val="24"/>
        </w:rPr>
        <w:t xml:space="preserve"> </w:t>
      </w:r>
      <w:r w:rsidR="00812373" w:rsidRPr="00F42E76">
        <w:rPr>
          <w:sz w:val="24"/>
          <w:szCs w:val="24"/>
        </w:rPr>
        <w:t>T</w:t>
      </w:r>
      <w:r w:rsidR="000460C0" w:rsidRPr="00F42E76">
        <w:rPr>
          <w:sz w:val="24"/>
          <w:szCs w:val="24"/>
        </w:rPr>
        <w:t>he CoP approach</w:t>
      </w:r>
      <w:r w:rsidR="00812373" w:rsidRPr="00F42E76">
        <w:rPr>
          <w:sz w:val="24"/>
          <w:szCs w:val="24"/>
        </w:rPr>
        <w:t xml:space="preserve"> identifies its subjects of investigation by looking at circumstances where the “community” has already come into being, and work</w:t>
      </w:r>
      <w:r w:rsidR="001C790E" w:rsidRPr="00F42E76">
        <w:rPr>
          <w:sz w:val="24"/>
          <w:szCs w:val="24"/>
        </w:rPr>
        <w:t>s</w:t>
      </w:r>
      <w:r w:rsidR="00812373" w:rsidRPr="00F42E76">
        <w:rPr>
          <w:sz w:val="24"/>
          <w:szCs w:val="24"/>
        </w:rPr>
        <w:t xml:space="preserve"> backwards to understand how they came together in the first place. In many ways, this is a necessity of the model itself, as it </w:t>
      </w:r>
      <w:r w:rsidR="00812373" w:rsidRPr="00F42E76">
        <w:rPr>
          <w:sz w:val="24"/>
          <w:szCs w:val="24"/>
        </w:rPr>
        <w:lastRenderedPageBreak/>
        <w:t>may be impossible to predict where and when such organic communities of learning will develop. However, as with Sennett’s understanding of craftsmanship, t</w:t>
      </w:r>
      <w:r w:rsidR="001C790E" w:rsidRPr="00F42E76">
        <w:rPr>
          <w:sz w:val="24"/>
          <w:szCs w:val="24"/>
        </w:rPr>
        <w:t>he result is a limited view of a given practice</w:t>
      </w:r>
      <w:r w:rsidR="00996E98" w:rsidRPr="00F42E76">
        <w:rPr>
          <w:sz w:val="24"/>
          <w:szCs w:val="24"/>
        </w:rPr>
        <w:t>. T</w:t>
      </w:r>
      <w:r w:rsidR="005F6D68" w:rsidRPr="00F42E76">
        <w:rPr>
          <w:sz w:val="24"/>
          <w:szCs w:val="24"/>
        </w:rPr>
        <w:t>he model</w:t>
      </w:r>
      <w:r w:rsidR="001C790E" w:rsidRPr="00F42E76">
        <w:rPr>
          <w:sz w:val="24"/>
          <w:szCs w:val="24"/>
        </w:rPr>
        <w:t xml:space="preserve"> cannot fully capture the experiences of those actors who are </w:t>
      </w:r>
      <w:r w:rsidR="00996E98" w:rsidRPr="00F42E76">
        <w:rPr>
          <w:sz w:val="24"/>
          <w:szCs w:val="24"/>
        </w:rPr>
        <w:t xml:space="preserve">excluded from (or at least </w:t>
      </w:r>
      <w:r w:rsidR="001C790E" w:rsidRPr="00F42E76">
        <w:rPr>
          <w:sz w:val="24"/>
          <w:szCs w:val="24"/>
        </w:rPr>
        <w:t>not</w:t>
      </w:r>
      <w:r w:rsidR="00996E98" w:rsidRPr="00F42E76">
        <w:rPr>
          <w:sz w:val="24"/>
          <w:szCs w:val="24"/>
        </w:rPr>
        <w:t xml:space="preserve"> wholly </w:t>
      </w:r>
      <w:r w:rsidR="001C790E" w:rsidRPr="00F42E76">
        <w:rPr>
          <w:sz w:val="24"/>
          <w:szCs w:val="24"/>
        </w:rPr>
        <w:t>integrated into</w:t>
      </w:r>
      <w:r w:rsidR="00996E98" w:rsidRPr="00F42E76">
        <w:rPr>
          <w:sz w:val="24"/>
          <w:szCs w:val="24"/>
        </w:rPr>
        <w:t xml:space="preserve">) the </w:t>
      </w:r>
      <w:r w:rsidR="001C790E" w:rsidRPr="00F42E76">
        <w:rPr>
          <w:sz w:val="24"/>
          <w:szCs w:val="24"/>
        </w:rPr>
        <w:t>community of practice</w:t>
      </w:r>
      <w:r w:rsidR="005F6D68" w:rsidRPr="00F42E76">
        <w:rPr>
          <w:sz w:val="24"/>
          <w:szCs w:val="24"/>
        </w:rPr>
        <w:t xml:space="preserve">, </w:t>
      </w:r>
      <w:r w:rsidR="00996E98" w:rsidRPr="00F42E76">
        <w:rPr>
          <w:sz w:val="24"/>
          <w:szCs w:val="24"/>
        </w:rPr>
        <w:t>since</w:t>
      </w:r>
      <w:r w:rsidR="005F6D68" w:rsidRPr="00F42E76">
        <w:rPr>
          <w:sz w:val="24"/>
          <w:szCs w:val="24"/>
        </w:rPr>
        <w:t xml:space="preserve"> it </w:t>
      </w:r>
      <w:r w:rsidR="00996E98" w:rsidRPr="00F42E76">
        <w:rPr>
          <w:sz w:val="24"/>
          <w:szCs w:val="24"/>
        </w:rPr>
        <w:t xml:space="preserve">is precisely </w:t>
      </w:r>
      <w:r w:rsidR="00996E98" w:rsidRPr="00F42E76">
        <w:rPr>
          <w:i/>
          <w:sz w:val="24"/>
          <w:szCs w:val="24"/>
        </w:rPr>
        <w:t>shared</w:t>
      </w:r>
      <w:r w:rsidR="00996E98" w:rsidRPr="00F42E76">
        <w:rPr>
          <w:sz w:val="24"/>
          <w:szCs w:val="24"/>
        </w:rPr>
        <w:t xml:space="preserve"> learning and bonding that is the main interest of the CoP approach</w:t>
      </w:r>
      <w:r w:rsidR="001C790E" w:rsidRPr="00F42E76">
        <w:rPr>
          <w:sz w:val="24"/>
          <w:szCs w:val="24"/>
        </w:rPr>
        <w:t xml:space="preserve">. </w:t>
      </w:r>
      <w:r w:rsidR="00996E98" w:rsidRPr="00F42E76">
        <w:rPr>
          <w:sz w:val="24"/>
          <w:szCs w:val="24"/>
        </w:rPr>
        <w:t>Actors, practices, opinions and experiences that fal</w:t>
      </w:r>
      <w:r w:rsidR="000D2C28" w:rsidRPr="00F42E76">
        <w:rPr>
          <w:sz w:val="24"/>
          <w:szCs w:val="24"/>
        </w:rPr>
        <w:t>l</w:t>
      </w:r>
      <w:r w:rsidR="00996E98" w:rsidRPr="00F42E76">
        <w:rPr>
          <w:sz w:val="24"/>
          <w:szCs w:val="24"/>
        </w:rPr>
        <w:t xml:space="preserve"> outside of these shared domains remain invisible. </w:t>
      </w:r>
    </w:p>
    <w:p w14:paraId="0DE25AF6" w14:textId="77777777" w:rsidR="00A12728" w:rsidRPr="00F42E76" w:rsidRDefault="00A12728" w:rsidP="000A0568">
      <w:pPr>
        <w:spacing w:line="480" w:lineRule="auto"/>
        <w:rPr>
          <w:sz w:val="24"/>
          <w:szCs w:val="24"/>
        </w:rPr>
      </w:pPr>
    </w:p>
    <w:p w14:paraId="06D7A4FC" w14:textId="77777777" w:rsidR="003931D3" w:rsidRDefault="001C790E" w:rsidP="000A0568">
      <w:pPr>
        <w:spacing w:line="480" w:lineRule="auto"/>
        <w:rPr>
          <w:sz w:val="24"/>
          <w:szCs w:val="24"/>
        </w:rPr>
      </w:pPr>
      <w:r w:rsidRPr="00EA762C">
        <w:rPr>
          <w:sz w:val="24"/>
          <w:szCs w:val="24"/>
        </w:rPr>
        <w:t xml:space="preserve">In the case of craftwork, </w:t>
      </w:r>
      <w:r w:rsidR="00C109A5" w:rsidRPr="00EA762C">
        <w:rPr>
          <w:sz w:val="24"/>
          <w:szCs w:val="24"/>
        </w:rPr>
        <w:t>the</w:t>
      </w:r>
      <w:r w:rsidRPr="00EA762C">
        <w:rPr>
          <w:sz w:val="24"/>
          <w:szCs w:val="24"/>
        </w:rPr>
        <w:t xml:space="preserve"> </w:t>
      </w:r>
      <w:r w:rsidR="00996E98" w:rsidRPr="00EA762C">
        <w:rPr>
          <w:sz w:val="24"/>
          <w:szCs w:val="24"/>
        </w:rPr>
        <w:t xml:space="preserve">artisanal </w:t>
      </w:r>
      <w:r w:rsidRPr="00EA762C">
        <w:rPr>
          <w:sz w:val="24"/>
          <w:szCs w:val="24"/>
        </w:rPr>
        <w:t xml:space="preserve">community of practice </w:t>
      </w:r>
      <w:r w:rsidR="00A12728" w:rsidRPr="00EA762C">
        <w:rPr>
          <w:sz w:val="24"/>
          <w:szCs w:val="24"/>
        </w:rPr>
        <w:t>is</w:t>
      </w:r>
      <w:r w:rsidRPr="00EA762C">
        <w:rPr>
          <w:sz w:val="24"/>
          <w:szCs w:val="24"/>
        </w:rPr>
        <w:t xml:space="preserve"> identified </w:t>
      </w:r>
      <w:r w:rsidR="00996E98" w:rsidRPr="00EA762C">
        <w:rPr>
          <w:sz w:val="24"/>
          <w:szCs w:val="24"/>
        </w:rPr>
        <w:t xml:space="preserve">by looking for those artisans who </w:t>
      </w:r>
      <w:r w:rsidR="00C109A5" w:rsidRPr="00EA762C">
        <w:rPr>
          <w:sz w:val="24"/>
          <w:szCs w:val="24"/>
        </w:rPr>
        <w:t>endorse or at least acknowledge the</w:t>
      </w:r>
      <w:r w:rsidR="00996E98" w:rsidRPr="00EA762C">
        <w:rPr>
          <w:sz w:val="24"/>
          <w:szCs w:val="24"/>
        </w:rPr>
        <w:t xml:space="preserve"> norms, standards, aesthetics, and knowledge relating to production and marketing of that craft.</w:t>
      </w:r>
      <w:r w:rsidR="00C109A5" w:rsidRPr="00EA762C">
        <w:rPr>
          <w:sz w:val="24"/>
          <w:szCs w:val="24"/>
        </w:rPr>
        <w:t xml:space="preserve"> Not all members of the community may meet its ideal standards, but they will acknowledge </w:t>
      </w:r>
      <w:r w:rsidR="00F42E76" w:rsidRPr="00EA762C">
        <w:rPr>
          <w:sz w:val="24"/>
          <w:szCs w:val="24"/>
        </w:rPr>
        <w:t>them,</w:t>
      </w:r>
      <w:r w:rsidR="00C109A5" w:rsidRPr="00EA762C">
        <w:rPr>
          <w:sz w:val="24"/>
          <w:szCs w:val="24"/>
        </w:rPr>
        <w:t xml:space="preserve"> nonetheless. </w:t>
      </w:r>
      <w:r w:rsidR="000D2C28" w:rsidRPr="00EA762C">
        <w:rPr>
          <w:sz w:val="24"/>
          <w:szCs w:val="24"/>
        </w:rPr>
        <w:t>This delineation of the craft community may be sufficient in those artisanal fields where producers are primarily motivated by their personal interest</w:t>
      </w:r>
      <w:r w:rsidR="007E70C5" w:rsidRPr="00EA762C">
        <w:rPr>
          <w:sz w:val="24"/>
          <w:szCs w:val="24"/>
        </w:rPr>
        <w:t>s</w:t>
      </w:r>
      <w:r w:rsidR="000D2C28" w:rsidRPr="00EA762C">
        <w:rPr>
          <w:sz w:val="24"/>
          <w:szCs w:val="24"/>
        </w:rPr>
        <w:t>, enthusiasm for, or “calling to</w:t>
      </w:r>
      <w:r w:rsidR="00A12728" w:rsidRPr="00EA762C">
        <w:rPr>
          <w:sz w:val="24"/>
          <w:szCs w:val="24"/>
        </w:rPr>
        <w:t>”</w:t>
      </w:r>
      <w:r w:rsidR="000D2C28" w:rsidRPr="00EA762C">
        <w:rPr>
          <w:sz w:val="24"/>
          <w:szCs w:val="24"/>
        </w:rPr>
        <w:t xml:space="preserve"> the craft.</w:t>
      </w:r>
      <w:r w:rsidR="000D2C28" w:rsidRPr="00EA762C">
        <w:rPr>
          <w:rStyle w:val="EndnoteReference"/>
          <w:sz w:val="24"/>
          <w:szCs w:val="24"/>
        </w:rPr>
        <w:endnoteReference w:id="24"/>
      </w:r>
      <w:r w:rsidR="000D2C28" w:rsidRPr="00EA762C">
        <w:rPr>
          <w:sz w:val="24"/>
          <w:szCs w:val="24"/>
        </w:rPr>
        <w:t xml:space="preserve"> </w:t>
      </w:r>
      <w:r w:rsidR="007E70C5" w:rsidRPr="00EA762C">
        <w:rPr>
          <w:sz w:val="24"/>
          <w:szCs w:val="24"/>
        </w:rPr>
        <w:t xml:space="preserve">However, </w:t>
      </w:r>
      <w:r w:rsidR="000D2C28" w:rsidRPr="00EA762C">
        <w:rPr>
          <w:sz w:val="24"/>
          <w:szCs w:val="24"/>
        </w:rPr>
        <w:t>in fields</w:t>
      </w:r>
      <w:r w:rsidR="007E70C5" w:rsidRPr="00EA762C">
        <w:rPr>
          <w:sz w:val="24"/>
          <w:szCs w:val="24"/>
        </w:rPr>
        <w:t xml:space="preserve"> </w:t>
      </w:r>
      <w:r w:rsidR="000D2C28" w:rsidRPr="00EA762C">
        <w:rPr>
          <w:sz w:val="24"/>
          <w:szCs w:val="24"/>
        </w:rPr>
        <w:t xml:space="preserve">such as Oaxacan woodcarving, where most </w:t>
      </w:r>
      <w:r w:rsidR="007E70C5" w:rsidRPr="00EA762C">
        <w:rPr>
          <w:sz w:val="24"/>
          <w:szCs w:val="24"/>
        </w:rPr>
        <w:t>producers have become artisans, at least initially, out of economic necessity and lack of viable alternatives,</w:t>
      </w:r>
      <w:r w:rsidR="00A12728" w:rsidRPr="00EA762C">
        <w:rPr>
          <w:sz w:val="24"/>
          <w:szCs w:val="24"/>
        </w:rPr>
        <w:t xml:space="preserve"> it does not make </w:t>
      </w:r>
      <w:r w:rsidR="000B5A0A" w:rsidRPr="00EA762C">
        <w:rPr>
          <w:sz w:val="24"/>
          <w:szCs w:val="24"/>
        </w:rPr>
        <w:t>s</w:t>
      </w:r>
      <w:r w:rsidR="00A12728" w:rsidRPr="00EA762C">
        <w:rPr>
          <w:sz w:val="24"/>
          <w:szCs w:val="24"/>
        </w:rPr>
        <w:t xml:space="preserve">ense to start from an assumption that all individuals working as artisans are accounted for by a CoP approach. </w:t>
      </w:r>
    </w:p>
    <w:p w14:paraId="6848A42C" w14:textId="77777777" w:rsidR="003931D3" w:rsidRDefault="003931D3" w:rsidP="000A0568">
      <w:pPr>
        <w:spacing w:line="480" w:lineRule="auto"/>
        <w:rPr>
          <w:sz w:val="24"/>
          <w:szCs w:val="24"/>
        </w:rPr>
      </w:pPr>
    </w:p>
    <w:p w14:paraId="3FC84CA9" w14:textId="19E1034F" w:rsidR="001774B2" w:rsidRPr="00EA762C" w:rsidRDefault="00A12728" w:rsidP="000A0568">
      <w:pPr>
        <w:spacing w:line="480" w:lineRule="auto"/>
        <w:rPr>
          <w:sz w:val="24"/>
          <w:szCs w:val="24"/>
        </w:rPr>
      </w:pPr>
      <w:r w:rsidRPr="00EA762C">
        <w:rPr>
          <w:sz w:val="24"/>
          <w:szCs w:val="24"/>
        </w:rPr>
        <w:t xml:space="preserve">In the remainder of this chapter, I present two individuals from my larger ethnographic research with Oaxacan woodcarvers. As should be clear, my intention is not to suggest that their experiences are somehow representative of artisans working in Oaxacan woodcarving or larger fields of Mexican craft production. Instead, I want to highlight how their structural </w:t>
      </w:r>
      <w:r w:rsidRPr="00EA762C">
        <w:rPr>
          <w:sz w:val="24"/>
          <w:szCs w:val="24"/>
        </w:rPr>
        <w:lastRenderedPageBreak/>
        <w:t xml:space="preserve">positions and personal dispositions effectively make them invisible to analytic frameworks that imagine artisanship to be an ethical condition of being (someone who works with skill; a member of a community of practice) rather than just naming a person who makes things by hand. In </w:t>
      </w:r>
      <w:r w:rsidR="00413758" w:rsidRPr="00EA762C">
        <w:rPr>
          <w:sz w:val="24"/>
          <w:szCs w:val="24"/>
        </w:rPr>
        <w:t xml:space="preserve">drawing out these examples, I aim to show that such models of artisanship are not only analytically limiting but are also politically problematic, as those who do not already conform to </w:t>
      </w:r>
      <w:r w:rsidR="00D21349" w:rsidRPr="00EA762C">
        <w:rPr>
          <w:sz w:val="24"/>
          <w:szCs w:val="24"/>
        </w:rPr>
        <w:t>archetypical</w:t>
      </w:r>
      <w:r w:rsidR="00413758" w:rsidRPr="00EA762C">
        <w:rPr>
          <w:sz w:val="24"/>
          <w:szCs w:val="24"/>
        </w:rPr>
        <w:t xml:space="preserve"> ideas about artisans and craftwork become unrepresentable within them.</w:t>
      </w:r>
    </w:p>
    <w:p w14:paraId="0231B934" w14:textId="77777777" w:rsidR="00F17D95" w:rsidRPr="00EA762C" w:rsidRDefault="00F17D95" w:rsidP="000A0568">
      <w:pPr>
        <w:spacing w:line="480" w:lineRule="auto"/>
        <w:rPr>
          <w:sz w:val="24"/>
          <w:szCs w:val="24"/>
        </w:rPr>
      </w:pPr>
    </w:p>
    <w:p w14:paraId="489AB025" w14:textId="77777777" w:rsidR="001774B2" w:rsidRPr="00EA762C" w:rsidRDefault="0096029C" w:rsidP="001774B2">
      <w:pPr>
        <w:pStyle w:val="Heading2"/>
        <w:rPr>
          <w:lang w:val="en-GB"/>
        </w:rPr>
      </w:pPr>
      <w:r w:rsidRPr="00EA762C">
        <w:rPr>
          <w:lang w:val="en-GB"/>
        </w:rPr>
        <w:t>Working without skill in Oaxaca</w:t>
      </w:r>
    </w:p>
    <w:p w14:paraId="71645462" w14:textId="77777777" w:rsidR="001774B2" w:rsidRPr="00EA762C" w:rsidRDefault="001774B2" w:rsidP="00CC3CC3">
      <w:pPr>
        <w:pStyle w:val="Heading2"/>
        <w:rPr>
          <w:lang w:val="en-GB"/>
        </w:rPr>
      </w:pPr>
    </w:p>
    <w:p w14:paraId="31061562" w14:textId="77777777" w:rsidR="001774B2" w:rsidRPr="00EA762C" w:rsidRDefault="001774B2" w:rsidP="005C2AFD">
      <w:pPr>
        <w:spacing w:line="480" w:lineRule="auto"/>
        <w:rPr>
          <w:sz w:val="24"/>
          <w:szCs w:val="24"/>
        </w:rPr>
      </w:pPr>
      <w:r w:rsidRPr="00EA762C">
        <w:rPr>
          <w:sz w:val="24"/>
          <w:szCs w:val="24"/>
        </w:rPr>
        <w:t>Oaxacan woodcarvings, also known as</w:t>
      </w:r>
      <w:r w:rsidRPr="00EA762C">
        <w:rPr>
          <w:i/>
          <w:sz w:val="24"/>
          <w:szCs w:val="24"/>
        </w:rPr>
        <w:t xml:space="preserve"> alebrijes</w:t>
      </w:r>
      <w:r w:rsidRPr="00EA762C">
        <w:rPr>
          <w:sz w:val="24"/>
          <w:szCs w:val="24"/>
        </w:rPr>
        <w:t xml:space="preserve">, provide a particularly good opportunity to </w:t>
      </w:r>
      <w:r w:rsidR="007D3019" w:rsidRPr="00EA762C">
        <w:rPr>
          <w:sz w:val="24"/>
          <w:szCs w:val="24"/>
        </w:rPr>
        <w:t xml:space="preserve">investigate </w:t>
      </w:r>
      <w:r w:rsidR="00780547" w:rsidRPr="00EA762C">
        <w:rPr>
          <w:sz w:val="24"/>
          <w:szCs w:val="24"/>
        </w:rPr>
        <w:t>artisanal</w:t>
      </w:r>
      <w:r w:rsidR="007D3019" w:rsidRPr="00EA762C">
        <w:rPr>
          <w:sz w:val="24"/>
          <w:szCs w:val="24"/>
        </w:rPr>
        <w:t xml:space="preserve"> practices beyond those </w:t>
      </w:r>
      <w:r w:rsidR="00780547" w:rsidRPr="00EA762C">
        <w:rPr>
          <w:sz w:val="24"/>
          <w:szCs w:val="24"/>
        </w:rPr>
        <w:t>driven by an ethics of skil</w:t>
      </w:r>
      <w:r w:rsidR="00D96567" w:rsidRPr="00EA762C">
        <w:rPr>
          <w:sz w:val="24"/>
          <w:szCs w:val="24"/>
        </w:rPr>
        <w:t>l</w:t>
      </w:r>
      <w:r w:rsidR="007D3019" w:rsidRPr="00EA762C">
        <w:rPr>
          <w:sz w:val="24"/>
          <w:szCs w:val="24"/>
        </w:rPr>
        <w:t xml:space="preserve"> and collective learning</w:t>
      </w:r>
      <w:r w:rsidR="00780547" w:rsidRPr="00EA762C">
        <w:rPr>
          <w:sz w:val="24"/>
          <w:szCs w:val="24"/>
        </w:rPr>
        <w:t>. This is because</w:t>
      </w:r>
      <w:r w:rsidRPr="00EA762C">
        <w:rPr>
          <w:sz w:val="24"/>
          <w:szCs w:val="24"/>
        </w:rPr>
        <w:t xml:space="preserve">, unlike </w:t>
      </w:r>
      <w:r w:rsidR="00780547" w:rsidRPr="00EA762C">
        <w:rPr>
          <w:sz w:val="24"/>
          <w:szCs w:val="24"/>
        </w:rPr>
        <w:t>some</w:t>
      </w:r>
      <w:r w:rsidRPr="00EA762C">
        <w:rPr>
          <w:sz w:val="24"/>
          <w:szCs w:val="24"/>
        </w:rPr>
        <w:t xml:space="preserve"> other forms of craftwork that are consumed through globali</w:t>
      </w:r>
      <w:r w:rsidR="00F10A58" w:rsidRPr="00EA762C">
        <w:rPr>
          <w:sz w:val="24"/>
          <w:szCs w:val="24"/>
        </w:rPr>
        <w:t>s</w:t>
      </w:r>
      <w:r w:rsidRPr="00EA762C">
        <w:rPr>
          <w:sz w:val="24"/>
          <w:szCs w:val="24"/>
        </w:rPr>
        <w:t>ed art markets, the woodcarvings cannot be</w:t>
      </w:r>
      <w:r w:rsidR="00D8569B" w:rsidRPr="00EA762C">
        <w:rPr>
          <w:sz w:val="24"/>
          <w:szCs w:val="24"/>
        </w:rPr>
        <w:t xml:space="preserve"> directly</w:t>
      </w:r>
      <w:r w:rsidRPr="00EA762C">
        <w:rPr>
          <w:sz w:val="24"/>
          <w:szCs w:val="24"/>
        </w:rPr>
        <w:t xml:space="preserve"> connected to </w:t>
      </w:r>
      <w:r w:rsidR="00780547" w:rsidRPr="00EA762C">
        <w:rPr>
          <w:sz w:val="24"/>
          <w:szCs w:val="24"/>
        </w:rPr>
        <w:t>long-standing traditions of cultural production</w:t>
      </w:r>
      <w:r w:rsidRPr="00EA762C">
        <w:rPr>
          <w:sz w:val="24"/>
          <w:szCs w:val="24"/>
        </w:rPr>
        <w:t>.</w:t>
      </w:r>
      <w:r w:rsidR="005C2AFD" w:rsidRPr="00EA762C">
        <w:rPr>
          <w:rStyle w:val="EndnoteReference"/>
          <w:sz w:val="24"/>
          <w:szCs w:val="24"/>
        </w:rPr>
        <w:endnoteReference w:id="25"/>
      </w:r>
      <w:r w:rsidRPr="00EA762C">
        <w:rPr>
          <w:sz w:val="24"/>
          <w:szCs w:val="24"/>
        </w:rPr>
        <w:t xml:space="preserve"> Because of this, there are few fixed norms through which woodcarvings are made and</w:t>
      </w:r>
      <w:r w:rsidR="005C2AFD" w:rsidRPr="00EA762C">
        <w:rPr>
          <w:sz w:val="24"/>
          <w:szCs w:val="24"/>
        </w:rPr>
        <w:t xml:space="preserve"> there is no formal apprenticeship structure</w:t>
      </w:r>
      <w:r w:rsidRPr="00EA762C">
        <w:rPr>
          <w:sz w:val="24"/>
          <w:szCs w:val="24"/>
        </w:rPr>
        <w:t xml:space="preserve"> through which </w:t>
      </w:r>
      <w:r w:rsidR="005C2AFD" w:rsidRPr="00EA762C">
        <w:rPr>
          <w:sz w:val="24"/>
          <w:szCs w:val="24"/>
        </w:rPr>
        <w:t xml:space="preserve">younger </w:t>
      </w:r>
      <w:r w:rsidRPr="00EA762C">
        <w:rPr>
          <w:sz w:val="24"/>
          <w:szCs w:val="24"/>
        </w:rPr>
        <w:t xml:space="preserve">artisans learn their craft. The carvings are generally purchased by </w:t>
      </w:r>
      <w:r w:rsidR="005C2AFD" w:rsidRPr="00EA762C">
        <w:rPr>
          <w:sz w:val="24"/>
          <w:szCs w:val="24"/>
        </w:rPr>
        <w:t xml:space="preserve">tourists, ethnic/folk art collectors and gallery owners </w:t>
      </w:r>
      <w:r w:rsidRPr="00EA762C">
        <w:rPr>
          <w:sz w:val="24"/>
          <w:szCs w:val="24"/>
        </w:rPr>
        <w:t xml:space="preserve">from </w:t>
      </w:r>
      <w:r w:rsidR="005C2AFD" w:rsidRPr="00EA762C">
        <w:rPr>
          <w:sz w:val="24"/>
          <w:szCs w:val="24"/>
        </w:rPr>
        <w:t xml:space="preserve">Mexico, </w:t>
      </w:r>
      <w:r w:rsidRPr="00EA762C">
        <w:rPr>
          <w:sz w:val="24"/>
          <w:szCs w:val="24"/>
        </w:rPr>
        <w:t xml:space="preserve">Canada, </w:t>
      </w:r>
      <w:r w:rsidR="005C2AFD" w:rsidRPr="00EA762C">
        <w:rPr>
          <w:sz w:val="24"/>
          <w:szCs w:val="24"/>
        </w:rPr>
        <w:t xml:space="preserve">and </w:t>
      </w:r>
      <w:r w:rsidRPr="00EA762C">
        <w:rPr>
          <w:sz w:val="24"/>
          <w:szCs w:val="24"/>
        </w:rPr>
        <w:t>the United States</w:t>
      </w:r>
      <w:r w:rsidR="005C2AFD" w:rsidRPr="00EA762C">
        <w:rPr>
          <w:sz w:val="24"/>
          <w:szCs w:val="24"/>
        </w:rPr>
        <w:t>; t</w:t>
      </w:r>
      <w:r w:rsidRPr="00EA762C">
        <w:rPr>
          <w:sz w:val="24"/>
          <w:szCs w:val="24"/>
        </w:rPr>
        <w:t>he character of these markets mean that Oaxacan woodcarving is for the most part aesthetically conservative</w:t>
      </w:r>
      <w:r w:rsidR="005C2AFD" w:rsidRPr="00EA762C">
        <w:rPr>
          <w:sz w:val="24"/>
          <w:szCs w:val="24"/>
        </w:rPr>
        <w:t>.</w:t>
      </w:r>
      <w:r w:rsidR="005C2AFD" w:rsidRPr="00EA762C">
        <w:rPr>
          <w:rStyle w:val="EndnoteReference"/>
          <w:sz w:val="24"/>
          <w:szCs w:val="24"/>
        </w:rPr>
        <w:endnoteReference w:id="26"/>
      </w:r>
      <w:r w:rsidR="005C2AFD" w:rsidRPr="00EA762C">
        <w:rPr>
          <w:sz w:val="24"/>
          <w:szCs w:val="24"/>
        </w:rPr>
        <w:t xml:space="preserve"> </w:t>
      </w:r>
    </w:p>
    <w:p w14:paraId="516F2C17" w14:textId="77777777" w:rsidR="001774B2" w:rsidRPr="00EA762C" w:rsidRDefault="001774B2" w:rsidP="001774B2">
      <w:pPr>
        <w:spacing w:line="480" w:lineRule="auto"/>
        <w:rPr>
          <w:sz w:val="24"/>
          <w:szCs w:val="24"/>
        </w:rPr>
      </w:pPr>
    </w:p>
    <w:p w14:paraId="30FB3FE1" w14:textId="6433AA38" w:rsidR="001774B2" w:rsidRPr="00F42E76" w:rsidRDefault="001774B2" w:rsidP="001774B2">
      <w:pPr>
        <w:spacing w:line="480" w:lineRule="auto"/>
        <w:rPr>
          <w:sz w:val="24"/>
          <w:szCs w:val="24"/>
        </w:rPr>
      </w:pPr>
      <w:r w:rsidRPr="00EA762C">
        <w:rPr>
          <w:sz w:val="24"/>
          <w:szCs w:val="24"/>
        </w:rPr>
        <w:t xml:space="preserve">The village of San Martín Tilcajete, where I have conducted research since 2008, is one of three main communities in the Central Valleys region of Oaxaca where the woodcarvings </w:t>
      </w:r>
      <w:r w:rsidRPr="00EA762C">
        <w:rPr>
          <w:sz w:val="24"/>
          <w:szCs w:val="24"/>
        </w:rPr>
        <w:lastRenderedPageBreak/>
        <w:t>are produced. San Martín is arguably now the most successful of the villages, yet only very few families have been able to consolidate their work into a measure of financial stability. Many must combine income from woodcarving with other activities, such as running small corner shops, driving taxis, and working in the tourism service sector. While higher end producers are able to dedicate themselves exclusively to woodcarving, only one family has become truly economically secure through this work, and their success appears to their neighbo</w:t>
      </w:r>
      <w:r w:rsidR="008D7C64" w:rsidRPr="00EA762C">
        <w:rPr>
          <w:sz w:val="24"/>
          <w:szCs w:val="24"/>
        </w:rPr>
        <w:t>u</w:t>
      </w:r>
      <w:r w:rsidRPr="00EA762C">
        <w:rPr>
          <w:sz w:val="24"/>
          <w:szCs w:val="24"/>
        </w:rPr>
        <w:t>rs to be difficult, if not impossible, to replicate</w:t>
      </w:r>
      <w:r w:rsidR="005C2AFD" w:rsidRPr="00EA762C">
        <w:rPr>
          <w:sz w:val="24"/>
          <w:szCs w:val="24"/>
        </w:rPr>
        <w:t>.</w:t>
      </w:r>
      <w:r w:rsidR="005C2AFD" w:rsidRPr="00EA762C">
        <w:rPr>
          <w:rStyle w:val="EndnoteReference"/>
          <w:sz w:val="24"/>
          <w:szCs w:val="24"/>
        </w:rPr>
        <w:endnoteReference w:id="27"/>
      </w:r>
      <w:r w:rsidR="005C2AFD" w:rsidRPr="00EA762C">
        <w:rPr>
          <w:sz w:val="24"/>
          <w:szCs w:val="24"/>
        </w:rPr>
        <w:t xml:space="preserve"> </w:t>
      </w:r>
      <w:r w:rsidRPr="00EA762C">
        <w:rPr>
          <w:sz w:val="24"/>
          <w:szCs w:val="24"/>
        </w:rPr>
        <w:t xml:space="preserve">While woodcarving </w:t>
      </w:r>
      <w:r w:rsidR="00FB3E3A" w:rsidRPr="00EA762C">
        <w:rPr>
          <w:sz w:val="24"/>
          <w:szCs w:val="24"/>
        </w:rPr>
        <w:t>may</w:t>
      </w:r>
      <w:r w:rsidRPr="00EA762C">
        <w:rPr>
          <w:sz w:val="24"/>
          <w:szCs w:val="24"/>
        </w:rPr>
        <w:t xml:space="preserve"> not offer real security for most </w:t>
      </w:r>
      <w:r w:rsidR="00FB3E3A" w:rsidRPr="00EA762C">
        <w:rPr>
          <w:sz w:val="24"/>
          <w:szCs w:val="24"/>
        </w:rPr>
        <w:t>residents</w:t>
      </w:r>
      <w:r w:rsidRPr="00EA762C">
        <w:rPr>
          <w:sz w:val="24"/>
          <w:szCs w:val="24"/>
        </w:rPr>
        <w:t>, sixty percent</w:t>
      </w:r>
      <w:r w:rsidRPr="00F42E76">
        <w:rPr>
          <w:sz w:val="24"/>
          <w:szCs w:val="24"/>
        </w:rPr>
        <w:t xml:space="preserve"> of the village’s households are involved in their production.</w:t>
      </w:r>
      <w:r w:rsidR="00FB3E3A" w:rsidRPr="00F42E76">
        <w:rPr>
          <w:rStyle w:val="EndnoteReference"/>
          <w:sz w:val="24"/>
          <w:szCs w:val="24"/>
        </w:rPr>
        <w:endnoteReference w:id="28"/>
      </w:r>
      <w:r w:rsidRPr="00F42E76">
        <w:rPr>
          <w:sz w:val="24"/>
          <w:szCs w:val="24"/>
        </w:rPr>
        <w:t xml:space="preserve">  This is not at all surprising given the lack of alternative</w:t>
      </w:r>
      <w:r w:rsidR="005C2AFD" w:rsidRPr="00F42E76">
        <w:rPr>
          <w:sz w:val="24"/>
          <w:szCs w:val="24"/>
        </w:rPr>
        <w:t>s</w:t>
      </w:r>
      <w:r w:rsidRPr="00F42E76">
        <w:rPr>
          <w:sz w:val="24"/>
          <w:szCs w:val="24"/>
        </w:rPr>
        <w:t>, a consequence of larger conditions of economic and social underdevelopment in the region</w:t>
      </w:r>
      <w:r w:rsidR="005C2AFD" w:rsidRPr="00F42E76">
        <w:rPr>
          <w:sz w:val="24"/>
          <w:szCs w:val="24"/>
        </w:rPr>
        <w:t>: o</w:t>
      </w:r>
      <w:r w:rsidRPr="00F42E76">
        <w:rPr>
          <w:sz w:val="24"/>
          <w:szCs w:val="24"/>
        </w:rPr>
        <w:t>ver fifty percent of households in San Martín are economically dependent on remittances from migrants who work in the United States, usually without visas</w:t>
      </w:r>
      <w:r w:rsidR="00FB2722" w:rsidRPr="00F42E76">
        <w:rPr>
          <w:sz w:val="24"/>
          <w:szCs w:val="24"/>
        </w:rPr>
        <w:t>.</w:t>
      </w:r>
      <w:r w:rsidR="00FB2722" w:rsidRPr="00F42E76">
        <w:rPr>
          <w:rStyle w:val="EndnoteReference"/>
          <w:sz w:val="24"/>
          <w:szCs w:val="24"/>
        </w:rPr>
        <w:endnoteReference w:id="29"/>
      </w:r>
    </w:p>
    <w:p w14:paraId="31CE6631" w14:textId="77777777" w:rsidR="001774B2" w:rsidRPr="00F42E76" w:rsidRDefault="001774B2" w:rsidP="001774B2">
      <w:pPr>
        <w:spacing w:line="480" w:lineRule="auto"/>
        <w:rPr>
          <w:sz w:val="24"/>
          <w:szCs w:val="24"/>
        </w:rPr>
      </w:pPr>
    </w:p>
    <w:p w14:paraId="1CC1F100" w14:textId="77777777" w:rsidR="00EA762C" w:rsidRDefault="001774B2" w:rsidP="001774B2">
      <w:pPr>
        <w:spacing w:line="480" w:lineRule="auto"/>
        <w:rPr>
          <w:sz w:val="24"/>
          <w:szCs w:val="24"/>
        </w:rPr>
      </w:pPr>
      <w:r w:rsidRPr="00F42E76">
        <w:rPr>
          <w:sz w:val="24"/>
          <w:szCs w:val="24"/>
        </w:rPr>
        <w:t xml:space="preserve">For those who wish to stay in Oaxaca, woodcarving appears to be one of the few options available that does not have significant educational or material barriers to entry. The costs of tools and materials are generally low; machetes and knives are common implements in all </w:t>
      </w:r>
      <w:r w:rsidR="00C11779" w:rsidRPr="00F42E76">
        <w:rPr>
          <w:sz w:val="24"/>
          <w:szCs w:val="24"/>
        </w:rPr>
        <w:t>rural Oaxacan</w:t>
      </w:r>
      <w:r w:rsidRPr="00F42E76">
        <w:rPr>
          <w:sz w:val="24"/>
          <w:szCs w:val="24"/>
        </w:rPr>
        <w:t xml:space="preserve"> homes, and the wood, paint and insecticides needed are readily available, costing only a few pesos per figure. As San Martín Tilcajete is a craft community recogni</w:t>
      </w:r>
      <w:r w:rsidR="00F10A58" w:rsidRPr="00F42E76">
        <w:rPr>
          <w:sz w:val="24"/>
          <w:szCs w:val="24"/>
        </w:rPr>
        <w:t>s</w:t>
      </w:r>
      <w:r w:rsidRPr="00F42E76">
        <w:rPr>
          <w:sz w:val="24"/>
          <w:szCs w:val="24"/>
        </w:rPr>
        <w:t xml:space="preserve">ed and supported by the Oaxacan state, all </w:t>
      </w:r>
      <w:r w:rsidR="00C11779" w:rsidRPr="00F42E76">
        <w:rPr>
          <w:sz w:val="24"/>
          <w:szCs w:val="24"/>
        </w:rPr>
        <w:t xml:space="preserve">villagers </w:t>
      </w:r>
      <w:r w:rsidRPr="00F42E76">
        <w:rPr>
          <w:sz w:val="24"/>
          <w:szCs w:val="24"/>
        </w:rPr>
        <w:t xml:space="preserve">in principle can access the financial and marketing support that the state offers, without ever having their work inspected or evaluated. </w:t>
      </w:r>
    </w:p>
    <w:p w14:paraId="641C9302" w14:textId="77777777" w:rsidR="00EA762C" w:rsidRDefault="00EA762C" w:rsidP="001774B2">
      <w:pPr>
        <w:spacing w:line="480" w:lineRule="auto"/>
        <w:rPr>
          <w:sz w:val="24"/>
          <w:szCs w:val="24"/>
        </w:rPr>
      </w:pPr>
    </w:p>
    <w:p w14:paraId="51954FA6" w14:textId="102A5AE7" w:rsidR="00EA762C" w:rsidRPr="00EA762C" w:rsidRDefault="00C11779" w:rsidP="001774B2">
      <w:pPr>
        <w:spacing w:line="480" w:lineRule="auto"/>
        <w:rPr>
          <w:sz w:val="24"/>
          <w:szCs w:val="24"/>
        </w:rPr>
      </w:pPr>
      <w:r w:rsidRPr="00F42E76">
        <w:rPr>
          <w:sz w:val="24"/>
          <w:szCs w:val="24"/>
        </w:rPr>
        <w:lastRenderedPageBreak/>
        <w:t>I began to think about people who do unskillful work in the first few weeks of my research</w:t>
      </w:r>
      <w:r w:rsidR="00C95BA2">
        <w:rPr>
          <w:sz w:val="24"/>
          <w:szCs w:val="24"/>
        </w:rPr>
        <w:t>,</w:t>
      </w:r>
      <w:r w:rsidRPr="00F42E76">
        <w:rPr>
          <w:sz w:val="24"/>
          <w:szCs w:val="24"/>
        </w:rPr>
        <w:t xml:space="preserve"> when I was still getting to know the artisans and their fami</w:t>
      </w:r>
      <w:r w:rsidRPr="00EA762C">
        <w:rPr>
          <w:sz w:val="24"/>
          <w:szCs w:val="24"/>
        </w:rPr>
        <w:t xml:space="preserve">lies. I tried to make sense of the fact that some seemed disinterested in cultivating their artisanal skills. While this could simply be explained as a disheartening consequence of woodcarving being their only real economic option, </w:t>
      </w:r>
      <w:r w:rsidR="00C95BA2" w:rsidRPr="00EA762C">
        <w:rPr>
          <w:sz w:val="24"/>
          <w:szCs w:val="24"/>
        </w:rPr>
        <w:t>it</w:t>
      </w:r>
      <w:r w:rsidR="002A7602" w:rsidRPr="00EA762C">
        <w:rPr>
          <w:sz w:val="24"/>
          <w:szCs w:val="24"/>
        </w:rPr>
        <w:t xml:space="preserve"> does </w:t>
      </w:r>
      <w:r w:rsidRPr="00EA762C">
        <w:rPr>
          <w:sz w:val="24"/>
          <w:szCs w:val="24"/>
        </w:rPr>
        <w:t xml:space="preserve">not explain why many artisans who find themselves in difficult economic conditions remain interested in developing their skills and “take pride” in their work. One </w:t>
      </w:r>
      <w:r w:rsidR="001774B2" w:rsidRPr="00EA762C">
        <w:rPr>
          <w:sz w:val="24"/>
          <w:szCs w:val="24"/>
        </w:rPr>
        <w:t xml:space="preserve">evening I </w:t>
      </w:r>
      <w:r w:rsidRPr="00EA762C">
        <w:rPr>
          <w:sz w:val="24"/>
          <w:szCs w:val="24"/>
        </w:rPr>
        <w:t>visited</w:t>
      </w:r>
      <w:r w:rsidR="001774B2" w:rsidRPr="00EA762C">
        <w:rPr>
          <w:sz w:val="24"/>
          <w:szCs w:val="24"/>
        </w:rPr>
        <w:t xml:space="preserve"> the home of </w:t>
      </w:r>
      <w:r w:rsidRPr="00EA762C">
        <w:rPr>
          <w:sz w:val="24"/>
          <w:szCs w:val="24"/>
        </w:rPr>
        <w:t xml:space="preserve">Catalina </w:t>
      </w:r>
      <w:r w:rsidR="001774B2" w:rsidRPr="00EA762C">
        <w:rPr>
          <w:sz w:val="24"/>
          <w:szCs w:val="24"/>
        </w:rPr>
        <w:t>García</w:t>
      </w:r>
      <w:r w:rsidR="00EA762C" w:rsidRPr="00EA762C">
        <w:rPr>
          <w:sz w:val="24"/>
          <w:szCs w:val="24"/>
        </w:rPr>
        <w:t>, whose family owned the most successful workshop</w:t>
      </w:r>
      <w:r w:rsidRPr="00EA762C">
        <w:rPr>
          <w:sz w:val="24"/>
          <w:szCs w:val="24"/>
        </w:rPr>
        <w:t xml:space="preserve"> </w:t>
      </w:r>
      <w:r w:rsidR="001774B2" w:rsidRPr="00EA762C">
        <w:rPr>
          <w:sz w:val="24"/>
          <w:szCs w:val="24"/>
        </w:rPr>
        <w:t>in San Martín</w:t>
      </w:r>
      <w:r w:rsidRPr="00EA762C">
        <w:rPr>
          <w:sz w:val="24"/>
          <w:szCs w:val="24"/>
        </w:rPr>
        <w:t>.</w:t>
      </w:r>
      <w:r w:rsidR="00C95BA2" w:rsidRPr="00EA762C">
        <w:rPr>
          <w:rStyle w:val="EndnoteReference"/>
          <w:sz w:val="24"/>
          <w:szCs w:val="24"/>
        </w:rPr>
        <w:endnoteReference w:id="30"/>
      </w:r>
      <w:r w:rsidRPr="00EA762C">
        <w:rPr>
          <w:sz w:val="24"/>
          <w:szCs w:val="24"/>
        </w:rPr>
        <w:t xml:space="preserve"> </w:t>
      </w:r>
      <w:r w:rsidR="001774B2" w:rsidRPr="00EA762C">
        <w:rPr>
          <w:sz w:val="24"/>
          <w:szCs w:val="24"/>
        </w:rPr>
        <w:t xml:space="preserve">I showed </w:t>
      </w:r>
      <w:r w:rsidR="002A7602" w:rsidRPr="00EA762C">
        <w:rPr>
          <w:sz w:val="24"/>
          <w:szCs w:val="24"/>
        </w:rPr>
        <w:t>her</w:t>
      </w:r>
      <w:r w:rsidR="001774B2" w:rsidRPr="00EA762C">
        <w:rPr>
          <w:sz w:val="24"/>
          <w:szCs w:val="24"/>
        </w:rPr>
        <w:t xml:space="preserve"> </w:t>
      </w:r>
      <w:r w:rsidR="00EA762C" w:rsidRPr="00EA762C">
        <w:rPr>
          <w:sz w:val="24"/>
          <w:szCs w:val="24"/>
        </w:rPr>
        <w:t>some</w:t>
      </w:r>
      <w:r w:rsidR="001774B2" w:rsidRPr="00EA762C">
        <w:rPr>
          <w:sz w:val="24"/>
          <w:szCs w:val="24"/>
        </w:rPr>
        <w:t xml:space="preserve"> carvings I had bought throughout the day, </w:t>
      </w:r>
      <w:r w:rsidR="002A7602" w:rsidRPr="00EA762C">
        <w:rPr>
          <w:sz w:val="24"/>
          <w:szCs w:val="24"/>
        </w:rPr>
        <w:t xml:space="preserve">and </w:t>
      </w:r>
      <w:r w:rsidR="001774B2" w:rsidRPr="00EA762C">
        <w:rPr>
          <w:sz w:val="24"/>
          <w:szCs w:val="24"/>
        </w:rPr>
        <w:t>she picked up a small piece that had been made by Blanca D</w:t>
      </w:r>
      <w:r w:rsidR="00EA762C" w:rsidRPr="00EA762C">
        <w:rPr>
          <w:rFonts w:cstheme="minorHAnsi"/>
          <w:sz w:val="24"/>
          <w:szCs w:val="24"/>
        </w:rPr>
        <w:t>í</w:t>
      </w:r>
      <w:r w:rsidR="001774B2" w:rsidRPr="00EA762C">
        <w:rPr>
          <w:sz w:val="24"/>
          <w:szCs w:val="24"/>
        </w:rPr>
        <w:t xml:space="preserve">az, a </w:t>
      </w:r>
      <w:r w:rsidR="002A7602" w:rsidRPr="00EA762C">
        <w:rPr>
          <w:sz w:val="24"/>
          <w:szCs w:val="24"/>
        </w:rPr>
        <w:t>woman</w:t>
      </w:r>
      <w:r w:rsidR="001774B2" w:rsidRPr="00EA762C">
        <w:rPr>
          <w:sz w:val="24"/>
          <w:szCs w:val="24"/>
        </w:rPr>
        <w:t xml:space="preserve"> whose workshop was close to the village’s main square. Looking at the piece, Catalina pursed her lips and said that she was dismayed that Blanca “works without skill.” This, she said, was not only bad for Blanca, but bad for everyone because it gave San Martín a bad name in the eyes of customers.  </w:t>
      </w:r>
    </w:p>
    <w:p w14:paraId="4F6C0E06" w14:textId="77777777" w:rsidR="00EA762C" w:rsidRPr="00EA762C" w:rsidRDefault="00EA762C" w:rsidP="001774B2">
      <w:pPr>
        <w:spacing w:line="480" w:lineRule="auto"/>
        <w:rPr>
          <w:sz w:val="24"/>
          <w:szCs w:val="24"/>
        </w:rPr>
      </w:pPr>
    </w:p>
    <w:p w14:paraId="1B0063FC" w14:textId="681D845F" w:rsidR="002A7602" w:rsidRPr="00F42E76" w:rsidRDefault="001774B2" w:rsidP="001774B2">
      <w:pPr>
        <w:spacing w:line="480" w:lineRule="auto"/>
        <w:rPr>
          <w:sz w:val="24"/>
          <w:szCs w:val="24"/>
        </w:rPr>
      </w:pPr>
      <w:r w:rsidRPr="00EA762C">
        <w:rPr>
          <w:sz w:val="24"/>
          <w:szCs w:val="24"/>
        </w:rPr>
        <w:t xml:space="preserve">Blanca’s work practices contrasted greatly with those of Catalina García and many </w:t>
      </w:r>
      <w:r w:rsidR="002A7602" w:rsidRPr="00EA762C">
        <w:rPr>
          <w:sz w:val="24"/>
          <w:szCs w:val="24"/>
        </w:rPr>
        <w:t xml:space="preserve">of the </w:t>
      </w:r>
      <w:r w:rsidRPr="00EA762C">
        <w:rPr>
          <w:sz w:val="24"/>
          <w:szCs w:val="24"/>
        </w:rPr>
        <w:t xml:space="preserve">other </w:t>
      </w:r>
      <w:r w:rsidR="002A7602" w:rsidRPr="00EA762C">
        <w:rPr>
          <w:sz w:val="24"/>
          <w:szCs w:val="24"/>
        </w:rPr>
        <w:t>artisans in San Martín</w:t>
      </w:r>
      <w:r w:rsidRPr="00EA762C">
        <w:rPr>
          <w:sz w:val="24"/>
          <w:szCs w:val="24"/>
        </w:rPr>
        <w:t>. Most of the</w:t>
      </w:r>
      <w:r w:rsidR="002A7602" w:rsidRPr="00EA762C">
        <w:rPr>
          <w:sz w:val="24"/>
          <w:szCs w:val="24"/>
        </w:rPr>
        <w:t>ir</w:t>
      </w:r>
      <w:r w:rsidRPr="00EA762C">
        <w:rPr>
          <w:sz w:val="24"/>
          <w:szCs w:val="24"/>
        </w:rPr>
        <w:t xml:space="preserve"> workshops were quiet, orderly spaces where people concentrated on the tasks at hand. Although people often listened to raucous </w:t>
      </w:r>
      <w:r w:rsidRPr="00EA762C">
        <w:rPr>
          <w:i/>
          <w:sz w:val="24"/>
          <w:szCs w:val="24"/>
        </w:rPr>
        <w:t xml:space="preserve">banda </w:t>
      </w:r>
      <w:r w:rsidRPr="00EA762C">
        <w:rPr>
          <w:sz w:val="24"/>
          <w:szCs w:val="24"/>
        </w:rPr>
        <w:t xml:space="preserve">music on their radios, the football </w:t>
      </w:r>
      <w:r w:rsidR="002A7602" w:rsidRPr="00EA762C">
        <w:rPr>
          <w:sz w:val="24"/>
          <w:szCs w:val="24"/>
        </w:rPr>
        <w:t xml:space="preserve">(soccer) </w:t>
      </w:r>
      <w:r w:rsidRPr="00EA762C">
        <w:rPr>
          <w:sz w:val="24"/>
          <w:szCs w:val="24"/>
        </w:rPr>
        <w:t>was notably eschewed, as it was difficult to concentrate on the game and work at the same time</w:t>
      </w:r>
      <w:r w:rsidR="002A7602" w:rsidRPr="00EA762C">
        <w:rPr>
          <w:sz w:val="24"/>
          <w:szCs w:val="24"/>
        </w:rPr>
        <w:t>.</w:t>
      </w:r>
      <w:r w:rsidRPr="00EA762C">
        <w:rPr>
          <w:sz w:val="24"/>
          <w:szCs w:val="24"/>
        </w:rPr>
        <w:t xml:space="preserve"> In contrast, Blanca’s workshop had a small television in the corner and throughout the day neighbo</w:t>
      </w:r>
      <w:r w:rsidR="008D7C64" w:rsidRPr="00EA762C">
        <w:rPr>
          <w:sz w:val="24"/>
          <w:szCs w:val="24"/>
        </w:rPr>
        <w:t>u</w:t>
      </w:r>
      <w:r w:rsidRPr="00EA762C">
        <w:rPr>
          <w:sz w:val="24"/>
          <w:szCs w:val="24"/>
        </w:rPr>
        <w:t xml:space="preserve">rs would pop in for a chat and Blanca would wander in and out to buy soda, to make phone calls or to just stand in the sun. Each morning, her husband would give her a box of carvings that were ready to be painted, and she would line up ten to fifteen of approximately the same size on her bench </w:t>
      </w:r>
      <w:r w:rsidRPr="00EA762C">
        <w:rPr>
          <w:sz w:val="24"/>
          <w:szCs w:val="24"/>
        </w:rPr>
        <w:lastRenderedPageBreak/>
        <w:t>and choose three or four plastic bottles of acrylic paint from the shelf. Using one of these colo</w:t>
      </w:r>
      <w:r w:rsidR="008D7C64" w:rsidRPr="00EA762C">
        <w:rPr>
          <w:sz w:val="24"/>
          <w:szCs w:val="24"/>
        </w:rPr>
        <w:t>u</w:t>
      </w:r>
      <w:r w:rsidRPr="00EA762C">
        <w:rPr>
          <w:sz w:val="24"/>
          <w:szCs w:val="24"/>
        </w:rPr>
        <w:t>rs, she would paint all of the carvings with a basecoat before returning to the beginning of the line to begin the decoration, choosing from the other colo</w:t>
      </w:r>
      <w:r w:rsidR="008D7C64" w:rsidRPr="00EA762C">
        <w:rPr>
          <w:sz w:val="24"/>
          <w:szCs w:val="24"/>
        </w:rPr>
        <w:t>u</w:t>
      </w:r>
      <w:r w:rsidRPr="00EA762C">
        <w:rPr>
          <w:sz w:val="24"/>
          <w:szCs w:val="24"/>
        </w:rPr>
        <w:t>rs at random as she went along, all the while keeping an eye on the telenovelas on the TV.</w:t>
      </w:r>
      <w:r w:rsidRPr="00F42E76">
        <w:rPr>
          <w:sz w:val="24"/>
          <w:szCs w:val="24"/>
        </w:rPr>
        <w:t xml:space="preserve"> </w:t>
      </w:r>
    </w:p>
    <w:p w14:paraId="4397B8EF" w14:textId="77777777" w:rsidR="00EA762C" w:rsidRDefault="00EA762C" w:rsidP="001774B2">
      <w:pPr>
        <w:spacing w:line="480" w:lineRule="auto"/>
        <w:rPr>
          <w:sz w:val="24"/>
          <w:szCs w:val="24"/>
        </w:rPr>
      </w:pPr>
    </w:p>
    <w:p w14:paraId="1BFC9744" w14:textId="39A06695" w:rsidR="00EA762C" w:rsidRDefault="001774B2" w:rsidP="001774B2">
      <w:pPr>
        <w:spacing w:line="480" w:lineRule="auto"/>
        <w:rPr>
          <w:sz w:val="24"/>
          <w:szCs w:val="24"/>
        </w:rPr>
      </w:pPr>
      <w:r w:rsidRPr="00F42E76">
        <w:rPr>
          <w:sz w:val="24"/>
          <w:szCs w:val="24"/>
        </w:rPr>
        <w:t xml:space="preserve">As I did with other artisans whom I knew well, I would occasionally offer to help Blanca paint carvings as we talked, but on the third or fourth time I did so, she admonished me for being too slow, telling me that I wasted too much time on decorating. “Customers will buy these for fifty pesos, whether you spend five or fifteen minutes on them… it’s better to do them quickly and make more of them,” she explained. I asked Blanca if it bothered her to make lower quality pieces. She paused, perhaps a little offended, and told me that of course sometimes she prefers to take her time and work on a large piece, but that making quick little pieces does not affect her abilities: “I know I can paint well if I want to, but sometimes I have to paint quickly!” </w:t>
      </w:r>
    </w:p>
    <w:p w14:paraId="754C61EA" w14:textId="77777777" w:rsidR="00EA762C" w:rsidRDefault="00EA762C" w:rsidP="001774B2">
      <w:pPr>
        <w:spacing w:line="480" w:lineRule="auto"/>
        <w:rPr>
          <w:sz w:val="24"/>
          <w:szCs w:val="24"/>
        </w:rPr>
      </w:pPr>
    </w:p>
    <w:p w14:paraId="79088D0A" w14:textId="6CC52FDB" w:rsidR="001774B2" w:rsidRPr="00F42E76" w:rsidRDefault="001774B2" w:rsidP="001774B2">
      <w:pPr>
        <w:spacing w:line="480" w:lineRule="auto"/>
        <w:rPr>
          <w:sz w:val="24"/>
          <w:szCs w:val="24"/>
        </w:rPr>
      </w:pPr>
      <w:r w:rsidRPr="00F42E76">
        <w:rPr>
          <w:sz w:val="24"/>
          <w:szCs w:val="24"/>
        </w:rPr>
        <w:t xml:space="preserve">While this might sound like a classic explanation of an “economically rational” actor, the truth was that Blanca’s workshop was always overflowing with finished pieces, and she never seemed under pressure to fulfil the orders that came in from wholesalers. Blanca was not really embarrassed or frustrated by working </w:t>
      </w:r>
      <w:r w:rsidR="00F42E76" w:rsidRPr="00F42E76">
        <w:rPr>
          <w:sz w:val="24"/>
          <w:szCs w:val="24"/>
        </w:rPr>
        <w:t>unskilfully</w:t>
      </w:r>
      <w:r w:rsidRPr="00F42E76">
        <w:rPr>
          <w:sz w:val="24"/>
          <w:szCs w:val="24"/>
        </w:rPr>
        <w:t xml:space="preserve"> and enjoyed the freedom, flexibility and pace that being an artisan in San Martín allowed her, especially compared to her previous work in a market stall in the nearby town of Ocotlán, which required her to rise early and work very hard all day.  Blanca’s</w:t>
      </w:r>
      <w:r w:rsidR="00C10784" w:rsidRPr="00F42E76">
        <w:rPr>
          <w:sz w:val="24"/>
          <w:szCs w:val="24"/>
        </w:rPr>
        <w:t xml:space="preserve"> explanation of her</w:t>
      </w:r>
      <w:r w:rsidRPr="00F42E76">
        <w:rPr>
          <w:sz w:val="24"/>
          <w:szCs w:val="24"/>
        </w:rPr>
        <w:t xml:space="preserve"> work practices </w:t>
      </w:r>
      <w:r w:rsidR="00AF5571" w:rsidRPr="00F42E76">
        <w:rPr>
          <w:sz w:val="24"/>
          <w:szCs w:val="24"/>
        </w:rPr>
        <w:t>does</w:t>
      </w:r>
      <w:r w:rsidRPr="00F42E76">
        <w:rPr>
          <w:sz w:val="24"/>
          <w:szCs w:val="24"/>
        </w:rPr>
        <w:t xml:space="preserve"> not indicate that she </w:t>
      </w:r>
      <w:r w:rsidR="00C10784" w:rsidRPr="00F42E76">
        <w:rPr>
          <w:sz w:val="24"/>
          <w:szCs w:val="24"/>
        </w:rPr>
        <w:t xml:space="preserve">was necessarily </w:t>
      </w:r>
      <w:r w:rsidRPr="00F42E76">
        <w:rPr>
          <w:sz w:val="24"/>
          <w:szCs w:val="24"/>
        </w:rPr>
        <w:t xml:space="preserve">unskilled </w:t>
      </w:r>
      <w:r w:rsidR="00C10784" w:rsidRPr="00F42E76">
        <w:rPr>
          <w:sz w:val="24"/>
          <w:szCs w:val="24"/>
        </w:rPr>
        <w:t>or desired to improve the quality of her work</w:t>
      </w:r>
      <w:r w:rsidR="007B34B3">
        <w:rPr>
          <w:sz w:val="24"/>
          <w:szCs w:val="24"/>
        </w:rPr>
        <w:t>.</w:t>
      </w:r>
      <w:r w:rsidR="00C10784" w:rsidRPr="00F42E76">
        <w:rPr>
          <w:sz w:val="24"/>
          <w:szCs w:val="24"/>
        </w:rPr>
        <w:t xml:space="preserve"> </w:t>
      </w:r>
      <w:r w:rsidR="007B34B3">
        <w:rPr>
          <w:sz w:val="24"/>
          <w:szCs w:val="24"/>
        </w:rPr>
        <w:lastRenderedPageBreak/>
        <w:t>R</w:t>
      </w:r>
      <w:r w:rsidR="00C10784" w:rsidRPr="00F42E76">
        <w:rPr>
          <w:sz w:val="24"/>
          <w:szCs w:val="24"/>
        </w:rPr>
        <w:t>ather</w:t>
      </w:r>
      <w:r w:rsidR="007B34B3">
        <w:rPr>
          <w:sz w:val="24"/>
          <w:szCs w:val="24"/>
        </w:rPr>
        <w:t>,</w:t>
      </w:r>
      <w:r w:rsidR="00C10784" w:rsidRPr="00F42E76">
        <w:rPr>
          <w:sz w:val="24"/>
          <w:szCs w:val="24"/>
        </w:rPr>
        <w:t xml:space="preserve"> Blanca chose to </w:t>
      </w:r>
      <w:r w:rsidRPr="00F42E76">
        <w:rPr>
          <w:sz w:val="24"/>
          <w:szCs w:val="24"/>
        </w:rPr>
        <w:t xml:space="preserve">complete her work without using time or finesse, and </w:t>
      </w:r>
      <w:r w:rsidR="00C10784" w:rsidRPr="00F42E76">
        <w:rPr>
          <w:sz w:val="24"/>
          <w:szCs w:val="24"/>
        </w:rPr>
        <w:t xml:space="preserve">she </w:t>
      </w:r>
      <w:r w:rsidRPr="00F42E76">
        <w:rPr>
          <w:sz w:val="24"/>
          <w:szCs w:val="24"/>
        </w:rPr>
        <w:t xml:space="preserve">did not work to develop her skills further. </w:t>
      </w:r>
    </w:p>
    <w:p w14:paraId="5817B84F" w14:textId="77777777" w:rsidR="00C10784" w:rsidRPr="00F42E76" w:rsidRDefault="00C10784" w:rsidP="001774B2">
      <w:pPr>
        <w:spacing w:line="480" w:lineRule="auto"/>
        <w:rPr>
          <w:sz w:val="24"/>
          <w:szCs w:val="24"/>
        </w:rPr>
      </w:pPr>
    </w:p>
    <w:p w14:paraId="21069C52" w14:textId="676E960C" w:rsidR="00AF5571" w:rsidRPr="00F42E76" w:rsidRDefault="001774B2" w:rsidP="001774B2">
      <w:pPr>
        <w:spacing w:line="480" w:lineRule="auto"/>
        <w:rPr>
          <w:sz w:val="24"/>
          <w:szCs w:val="24"/>
        </w:rPr>
      </w:pPr>
      <w:r w:rsidRPr="00F42E76">
        <w:rPr>
          <w:sz w:val="24"/>
          <w:szCs w:val="24"/>
        </w:rPr>
        <w:t xml:space="preserve">Blanca’s </w:t>
      </w:r>
      <w:r w:rsidR="00AF5571" w:rsidRPr="00F42E76">
        <w:rPr>
          <w:sz w:val="24"/>
          <w:szCs w:val="24"/>
        </w:rPr>
        <w:t xml:space="preserve">perspective on her work can </w:t>
      </w:r>
      <w:r w:rsidRPr="00F42E76">
        <w:rPr>
          <w:sz w:val="24"/>
          <w:szCs w:val="24"/>
        </w:rPr>
        <w:t>be</w:t>
      </w:r>
      <w:r w:rsidR="00AF5571" w:rsidRPr="00F42E76">
        <w:rPr>
          <w:sz w:val="24"/>
          <w:szCs w:val="24"/>
        </w:rPr>
        <w:t xml:space="preserve"> usefully</w:t>
      </w:r>
      <w:r w:rsidR="002A7602" w:rsidRPr="00F42E76">
        <w:rPr>
          <w:sz w:val="24"/>
          <w:szCs w:val="24"/>
        </w:rPr>
        <w:t xml:space="preserve"> compared</w:t>
      </w:r>
      <w:r w:rsidRPr="00F42E76">
        <w:rPr>
          <w:sz w:val="24"/>
          <w:szCs w:val="24"/>
        </w:rPr>
        <w:t xml:space="preserve"> with</w:t>
      </w:r>
      <w:r w:rsidR="00AF5571" w:rsidRPr="00F42E76">
        <w:rPr>
          <w:sz w:val="24"/>
          <w:szCs w:val="24"/>
        </w:rPr>
        <w:t xml:space="preserve"> the case of</w:t>
      </w:r>
      <w:r w:rsidRPr="00F42E76">
        <w:rPr>
          <w:sz w:val="24"/>
          <w:szCs w:val="24"/>
        </w:rPr>
        <w:t xml:space="preserve"> Juan</w:t>
      </w:r>
      <w:r w:rsidR="00AF5571" w:rsidRPr="00F42E76">
        <w:rPr>
          <w:sz w:val="24"/>
          <w:szCs w:val="24"/>
        </w:rPr>
        <w:t xml:space="preserve">, who was an employee in </w:t>
      </w:r>
      <w:r w:rsidRPr="00F42E76">
        <w:rPr>
          <w:sz w:val="24"/>
          <w:szCs w:val="24"/>
        </w:rPr>
        <w:t>the Garcías’ workshop</w:t>
      </w:r>
      <w:r w:rsidR="00AF5571" w:rsidRPr="00F42E76">
        <w:rPr>
          <w:sz w:val="24"/>
          <w:szCs w:val="24"/>
        </w:rPr>
        <w:t xml:space="preserve">. </w:t>
      </w:r>
      <w:r w:rsidRPr="00F42E76">
        <w:rPr>
          <w:sz w:val="24"/>
          <w:szCs w:val="24"/>
        </w:rPr>
        <w:t xml:space="preserve"> </w:t>
      </w:r>
      <w:r w:rsidR="00AF5571" w:rsidRPr="00F42E76">
        <w:rPr>
          <w:sz w:val="24"/>
          <w:szCs w:val="24"/>
        </w:rPr>
        <w:t xml:space="preserve">Although he had worked for them </w:t>
      </w:r>
      <w:r w:rsidRPr="00F42E76">
        <w:rPr>
          <w:sz w:val="24"/>
          <w:szCs w:val="24"/>
        </w:rPr>
        <w:t>for over four years</w:t>
      </w:r>
      <w:r w:rsidR="00AF5571" w:rsidRPr="00F42E76">
        <w:rPr>
          <w:sz w:val="24"/>
          <w:szCs w:val="24"/>
        </w:rPr>
        <w:t xml:space="preserve">, he had not </w:t>
      </w:r>
      <w:r w:rsidRPr="00F42E76">
        <w:rPr>
          <w:sz w:val="24"/>
          <w:szCs w:val="24"/>
        </w:rPr>
        <w:t>developed his skills</w:t>
      </w:r>
      <w:r w:rsidR="00AF5571" w:rsidRPr="00F42E76">
        <w:rPr>
          <w:sz w:val="24"/>
          <w:szCs w:val="24"/>
        </w:rPr>
        <w:t xml:space="preserve"> and had not moved on to the more difficult painting that his colleagues did.</w:t>
      </w:r>
      <w:r w:rsidRPr="00F42E76">
        <w:rPr>
          <w:sz w:val="24"/>
          <w:szCs w:val="24"/>
        </w:rPr>
        <w:t xml:space="preserve"> He preferred to do the preparation </w:t>
      </w:r>
      <w:r w:rsidR="00EA762C">
        <w:rPr>
          <w:sz w:val="24"/>
          <w:szCs w:val="24"/>
        </w:rPr>
        <w:t>tasks of</w:t>
      </w:r>
      <w:r w:rsidRPr="00F42E76">
        <w:rPr>
          <w:sz w:val="24"/>
          <w:szCs w:val="24"/>
        </w:rPr>
        <w:t xml:space="preserve"> sanding and gluing. </w:t>
      </w:r>
      <w:r w:rsidR="00AF5571" w:rsidRPr="00F42E76">
        <w:rPr>
          <w:sz w:val="24"/>
          <w:szCs w:val="24"/>
        </w:rPr>
        <w:t>While t</w:t>
      </w:r>
      <w:r w:rsidRPr="00F42E76">
        <w:rPr>
          <w:sz w:val="24"/>
          <w:szCs w:val="24"/>
        </w:rPr>
        <w:t>his work was important to the production of the very expensive carvings</w:t>
      </w:r>
      <w:r w:rsidR="00AF5571" w:rsidRPr="00F42E76">
        <w:rPr>
          <w:sz w:val="24"/>
          <w:szCs w:val="24"/>
        </w:rPr>
        <w:t xml:space="preserve"> made at the Garc</w:t>
      </w:r>
      <w:r w:rsidR="00AF5571" w:rsidRPr="00F42E76">
        <w:rPr>
          <w:rFonts w:cstheme="minorHAnsi"/>
          <w:sz w:val="24"/>
          <w:szCs w:val="24"/>
        </w:rPr>
        <w:t>í</w:t>
      </w:r>
      <w:r w:rsidR="00AF5571" w:rsidRPr="00F42E76">
        <w:rPr>
          <w:sz w:val="24"/>
          <w:szCs w:val="24"/>
        </w:rPr>
        <w:t>as’</w:t>
      </w:r>
      <w:r w:rsidRPr="00F42E76">
        <w:rPr>
          <w:sz w:val="24"/>
          <w:szCs w:val="24"/>
        </w:rPr>
        <w:t xml:space="preserve">, it was not considered skilled in the same way as the work done by the carvers and painters. </w:t>
      </w:r>
      <w:r w:rsidR="008F5270" w:rsidRPr="00F42E76">
        <w:rPr>
          <w:sz w:val="24"/>
          <w:szCs w:val="24"/>
        </w:rPr>
        <w:t>The Garc</w:t>
      </w:r>
      <w:r w:rsidR="008F5270" w:rsidRPr="00F42E76">
        <w:rPr>
          <w:rFonts w:cstheme="minorHAnsi"/>
          <w:sz w:val="24"/>
          <w:szCs w:val="24"/>
        </w:rPr>
        <w:t>í</w:t>
      </w:r>
      <w:r w:rsidR="008F5270" w:rsidRPr="00F42E76">
        <w:rPr>
          <w:sz w:val="24"/>
          <w:szCs w:val="24"/>
        </w:rPr>
        <w:t>as</w:t>
      </w:r>
      <w:r w:rsidRPr="00F42E76">
        <w:rPr>
          <w:sz w:val="24"/>
          <w:szCs w:val="24"/>
        </w:rPr>
        <w:t xml:space="preserve"> often expressed disappointment about Juan’s apparent complacency, especially since his father happened to be one of the first artisans in </w:t>
      </w:r>
      <w:r w:rsidR="00AF5571" w:rsidRPr="00F42E76">
        <w:rPr>
          <w:sz w:val="24"/>
          <w:szCs w:val="24"/>
        </w:rPr>
        <w:t>San Mart</w:t>
      </w:r>
      <w:r w:rsidR="00AF5571" w:rsidRPr="00F42E76">
        <w:rPr>
          <w:rFonts w:cstheme="minorHAnsi"/>
          <w:sz w:val="24"/>
          <w:szCs w:val="24"/>
        </w:rPr>
        <w:t>í</w:t>
      </w:r>
      <w:r w:rsidR="00AF5571" w:rsidRPr="00F42E76">
        <w:rPr>
          <w:sz w:val="24"/>
          <w:szCs w:val="24"/>
        </w:rPr>
        <w:t>n and</w:t>
      </w:r>
      <w:r w:rsidRPr="00F42E76">
        <w:rPr>
          <w:sz w:val="24"/>
          <w:szCs w:val="24"/>
        </w:rPr>
        <w:t xml:space="preserve"> was considered an expert carver. </w:t>
      </w:r>
    </w:p>
    <w:p w14:paraId="15A7C5AA" w14:textId="77777777" w:rsidR="00AF5571" w:rsidRPr="00F42E76" w:rsidRDefault="00AF5571" w:rsidP="001774B2">
      <w:pPr>
        <w:spacing w:line="480" w:lineRule="auto"/>
        <w:rPr>
          <w:sz w:val="24"/>
          <w:szCs w:val="24"/>
        </w:rPr>
      </w:pPr>
    </w:p>
    <w:p w14:paraId="27B49E20" w14:textId="77777777" w:rsidR="00EA762C" w:rsidRDefault="001774B2" w:rsidP="001774B2">
      <w:pPr>
        <w:spacing w:line="480" w:lineRule="auto"/>
        <w:rPr>
          <w:sz w:val="24"/>
          <w:szCs w:val="24"/>
        </w:rPr>
      </w:pPr>
      <w:r w:rsidRPr="00F42E76">
        <w:rPr>
          <w:sz w:val="24"/>
          <w:szCs w:val="24"/>
        </w:rPr>
        <w:t>One evening, when visiting his family home, I asked him why he preferred preparation work when most of the other painters tried to avoid it. He told me that he just did not like painting that much, that he didn't like how long it took, and he did not want the responsibility to decide how to paint the carvings. His mother Paula, who was cooking nearby scoffed, “You see, Alanna. It’s that my son is very lazy. He prefers to do nothing at all!” While Paula characteri</w:t>
      </w:r>
      <w:r w:rsidR="00F10A58" w:rsidRPr="00F42E76">
        <w:rPr>
          <w:sz w:val="24"/>
          <w:szCs w:val="24"/>
        </w:rPr>
        <w:t>s</w:t>
      </w:r>
      <w:r w:rsidRPr="00F42E76">
        <w:rPr>
          <w:sz w:val="24"/>
          <w:szCs w:val="24"/>
        </w:rPr>
        <w:t xml:space="preserve">ed her son’s working habits as laziness, his own explanation indicates that actually he prefers the character of the work involved in sanding and preparation to that of painting. Like Blanca, he desired a working life that did not revolve around the deep engagement with materials and form that highly skilled painting requires. </w:t>
      </w:r>
    </w:p>
    <w:p w14:paraId="757EC848" w14:textId="77777777" w:rsidR="00EA762C" w:rsidRDefault="00EA762C" w:rsidP="001774B2">
      <w:pPr>
        <w:spacing w:line="480" w:lineRule="auto"/>
        <w:rPr>
          <w:sz w:val="24"/>
          <w:szCs w:val="24"/>
        </w:rPr>
      </w:pPr>
    </w:p>
    <w:p w14:paraId="4C7D2E91" w14:textId="187F48D7" w:rsidR="00484651" w:rsidRDefault="001774B2" w:rsidP="000837E5">
      <w:pPr>
        <w:spacing w:line="480" w:lineRule="auto"/>
        <w:rPr>
          <w:sz w:val="24"/>
          <w:szCs w:val="24"/>
        </w:rPr>
      </w:pPr>
      <w:r w:rsidRPr="00F42E76">
        <w:rPr>
          <w:sz w:val="24"/>
          <w:szCs w:val="24"/>
        </w:rPr>
        <w:t>In fact, far from being lazy, Juan was keen to be involved in the more social side of the Garcías’ business; his decent level of spoken English allowed him to offer tours of the workshop when Miguel García was unavailable. He enjoyed chatting and interacting with tourists from all over the world and often charmed visitors into ordering carvings that were not yet even finished. One could say that he was working to cultivate his social or entrepreneurial skills in the place of his artisanal skills, but this was generally not recogni</w:t>
      </w:r>
      <w:r w:rsidR="00F10A58" w:rsidRPr="00F42E76">
        <w:rPr>
          <w:sz w:val="24"/>
          <w:szCs w:val="24"/>
        </w:rPr>
        <w:t>s</w:t>
      </w:r>
      <w:r w:rsidRPr="00F42E76">
        <w:rPr>
          <w:sz w:val="24"/>
          <w:szCs w:val="24"/>
        </w:rPr>
        <w:t>ed by others</w:t>
      </w:r>
      <w:r w:rsidR="00A123E0">
        <w:rPr>
          <w:sz w:val="24"/>
          <w:szCs w:val="24"/>
        </w:rPr>
        <w:t xml:space="preserve"> as</w:t>
      </w:r>
      <w:r w:rsidR="00C50689">
        <w:rPr>
          <w:sz w:val="24"/>
          <w:szCs w:val="24"/>
        </w:rPr>
        <w:t xml:space="preserve"> a worthwhile activity,</w:t>
      </w:r>
      <w:r w:rsidR="00A123E0">
        <w:rPr>
          <w:sz w:val="24"/>
          <w:szCs w:val="24"/>
        </w:rPr>
        <w:t xml:space="preserve"> if it wasn’t accompanied by skilled artisanal work</w:t>
      </w:r>
      <w:r w:rsidR="00C50689">
        <w:rPr>
          <w:sz w:val="24"/>
          <w:szCs w:val="24"/>
        </w:rPr>
        <w:t xml:space="preserve">. </w:t>
      </w:r>
    </w:p>
    <w:p w14:paraId="639F9EDB" w14:textId="77777777" w:rsidR="00484651" w:rsidRDefault="00484651" w:rsidP="000837E5">
      <w:pPr>
        <w:spacing w:line="480" w:lineRule="auto"/>
        <w:rPr>
          <w:sz w:val="24"/>
          <w:szCs w:val="24"/>
        </w:rPr>
      </w:pPr>
    </w:p>
    <w:p w14:paraId="3FBE593E" w14:textId="731C7545" w:rsidR="004E4D6B" w:rsidRDefault="008F5270" w:rsidP="004E4D6B">
      <w:pPr>
        <w:spacing w:line="480" w:lineRule="auto"/>
        <w:rPr>
          <w:sz w:val="24"/>
          <w:szCs w:val="24"/>
        </w:rPr>
      </w:pPr>
      <w:r w:rsidRPr="00F42E76">
        <w:rPr>
          <w:sz w:val="24"/>
          <w:szCs w:val="24"/>
        </w:rPr>
        <w:t>Elsewhere, I have</w:t>
      </w:r>
      <w:r w:rsidR="000837E5" w:rsidRPr="00F42E76">
        <w:rPr>
          <w:sz w:val="24"/>
          <w:szCs w:val="24"/>
        </w:rPr>
        <w:t xml:space="preserve"> suggested</w:t>
      </w:r>
      <w:r w:rsidRPr="00F42E76">
        <w:rPr>
          <w:sz w:val="24"/>
          <w:szCs w:val="24"/>
        </w:rPr>
        <w:t xml:space="preserve"> that </w:t>
      </w:r>
      <w:r w:rsidR="001774B2" w:rsidRPr="00F42E76">
        <w:rPr>
          <w:sz w:val="24"/>
          <w:szCs w:val="24"/>
        </w:rPr>
        <w:t>Blanca</w:t>
      </w:r>
      <w:r w:rsidRPr="00F42E76">
        <w:rPr>
          <w:sz w:val="24"/>
          <w:szCs w:val="24"/>
        </w:rPr>
        <w:t>’s</w:t>
      </w:r>
      <w:r w:rsidR="001774B2" w:rsidRPr="00F42E76">
        <w:rPr>
          <w:sz w:val="24"/>
          <w:szCs w:val="24"/>
        </w:rPr>
        <w:t xml:space="preserve"> and Juan</w:t>
      </w:r>
      <w:r w:rsidRPr="00F42E76">
        <w:rPr>
          <w:sz w:val="24"/>
          <w:szCs w:val="24"/>
        </w:rPr>
        <w:t>’s work practices evidence different “aesthetics of work” that are at play within the woodcarving workshops of San Martin Tilcajete.</w:t>
      </w:r>
      <w:r w:rsidRPr="00F42E76">
        <w:rPr>
          <w:rStyle w:val="EndnoteReference"/>
          <w:sz w:val="24"/>
          <w:szCs w:val="24"/>
        </w:rPr>
        <w:endnoteReference w:id="31"/>
      </w:r>
      <w:r w:rsidRPr="00F42E76">
        <w:rPr>
          <w:sz w:val="24"/>
          <w:szCs w:val="24"/>
        </w:rPr>
        <w:t xml:space="preserve"> </w:t>
      </w:r>
      <w:r w:rsidR="00256231" w:rsidRPr="00F42E76">
        <w:rPr>
          <w:sz w:val="24"/>
          <w:szCs w:val="24"/>
        </w:rPr>
        <w:t>I argued that this is important to understand because it indicates that not all artisans desire or pursue the</w:t>
      </w:r>
      <w:r w:rsidR="000837E5" w:rsidRPr="00F42E76">
        <w:rPr>
          <w:sz w:val="24"/>
          <w:szCs w:val="24"/>
        </w:rPr>
        <w:t xml:space="preserve"> experience of “material engagement” that Sennett and others identify as the affective core of craftsmanship</w:t>
      </w:r>
      <w:r w:rsidR="006350E0">
        <w:rPr>
          <w:sz w:val="24"/>
          <w:szCs w:val="24"/>
        </w:rPr>
        <w:t>. T</w:t>
      </w:r>
      <w:r w:rsidR="001774B2" w:rsidRPr="00F42E76">
        <w:rPr>
          <w:sz w:val="24"/>
          <w:szCs w:val="24"/>
        </w:rPr>
        <w:t xml:space="preserve">he recognition of </w:t>
      </w:r>
      <w:r w:rsidR="00F42E76" w:rsidRPr="00F42E76">
        <w:rPr>
          <w:sz w:val="24"/>
          <w:szCs w:val="24"/>
        </w:rPr>
        <w:t>skilful</w:t>
      </w:r>
      <w:r w:rsidR="001774B2" w:rsidRPr="00F42E76">
        <w:rPr>
          <w:sz w:val="24"/>
          <w:szCs w:val="24"/>
        </w:rPr>
        <w:t xml:space="preserve"> and </w:t>
      </w:r>
      <w:r w:rsidR="00F42E76" w:rsidRPr="00F42E76">
        <w:rPr>
          <w:sz w:val="24"/>
          <w:szCs w:val="24"/>
        </w:rPr>
        <w:t>unskilful</w:t>
      </w:r>
      <w:r w:rsidR="001774B2" w:rsidRPr="00F42E76">
        <w:rPr>
          <w:sz w:val="24"/>
          <w:szCs w:val="24"/>
        </w:rPr>
        <w:t xml:space="preserve"> work in San Martín </w:t>
      </w:r>
      <w:r w:rsidR="00B7475A" w:rsidRPr="00F42E76">
        <w:rPr>
          <w:sz w:val="24"/>
          <w:szCs w:val="24"/>
        </w:rPr>
        <w:t xml:space="preserve">Tilcajete </w:t>
      </w:r>
      <w:r w:rsidR="001774B2" w:rsidRPr="00F42E76">
        <w:rPr>
          <w:sz w:val="24"/>
          <w:szCs w:val="24"/>
        </w:rPr>
        <w:t>can be seen to in</w:t>
      </w:r>
      <w:r w:rsidR="004E4D6B">
        <w:rPr>
          <w:sz w:val="24"/>
          <w:szCs w:val="24"/>
        </w:rPr>
        <w:t>dex</w:t>
      </w:r>
      <w:r w:rsidR="001774B2" w:rsidRPr="00F42E76">
        <w:rPr>
          <w:sz w:val="24"/>
          <w:szCs w:val="24"/>
        </w:rPr>
        <w:t xml:space="preserve"> different individuals’ ideas about the nature of desirable work itself. In other contexts, such differences may lead people to choose different career or vocational paths, perhaps eventually finding work that is more appropriate and satisfying to them. However, in </w:t>
      </w:r>
      <w:r w:rsidR="00B7475A" w:rsidRPr="00F42E76">
        <w:rPr>
          <w:sz w:val="24"/>
          <w:szCs w:val="24"/>
        </w:rPr>
        <w:t>San Martín</w:t>
      </w:r>
      <w:r w:rsidR="001774B2" w:rsidRPr="00F42E76">
        <w:rPr>
          <w:sz w:val="24"/>
          <w:szCs w:val="24"/>
        </w:rPr>
        <w:t>, where</w:t>
      </w:r>
      <w:r w:rsidR="00CC1668" w:rsidRPr="00F42E76">
        <w:rPr>
          <w:sz w:val="24"/>
          <w:szCs w:val="24"/>
        </w:rPr>
        <w:t xml:space="preserve"> livelihood</w:t>
      </w:r>
      <w:r w:rsidR="001774B2" w:rsidRPr="00F42E76">
        <w:rPr>
          <w:sz w:val="24"/>
          <w:szCs w:val="24"/>
        </w:rPr>
        <w:t xml:space="preserve"> choices are extremely limited, </w:t>
      </w:r>
      <w:r w:rsidR="004E4D6B">
        <w:rPr>
          <w:sz w:val="24"/>
          <w:szCs w:val="24"/>
        </w:rPr>
        <w:t xml:space="preserve">making woodcarvings </w:t>
      </w:r>
      <w:r w:rsidR="001774B2" w:rsidRPr="00F42E76">
        <w:rPr>
          <w:sz w:val="24"/>
          <w:szCs w:val="24"/>
        </w:rPr>
        <w:t>with skill appear</w:t>
      </w:r>
      <w:r w:rsidR="004E4D6B">
        <w:rPr>
          <w:sz w:val="24"/>
          <w:szCs w:val="24"/>
        </w:rPr>
        <w:t>s</w:t>
      </w:r>
      <w:r w:rsidR="001774B2" w:rsidRPr="00F42E76">
        <w:rPr>
          <w:sz w:val="24"/>
          <w:szCs w:val="24"/>
        </w:rPr>
        <w:t xml:space="preserve"> as the most </w:t>
      </w:r>
      <w:r w:rsidR="00B7475A" w:rsidRPr="00F42E76">
        <w:rPr>
          <w:sz w:val="24"/>
          <w:szCs w:val="24"/>
        </w:rPr>
        <w:t>secure</w:t>
      </w:r>
      <w:r w:rsidR="001774B2" w:rsidRPr="00F42E76">
        <w:rPr>
          <w:sz w:val="24"/>
          <w:szCs w:val="24"/>
        </w:rPr>
        <w:t xml:space="preserve"> </w:t>
      </w:r>
      <w:r w:rsidR="004E4D6B">
        <w:rPr>
          <w:sz w:val="24"/>
          <w:szCs w:val="24"/>
        </w:rPr>
        <w:t>form</w:t>
      </w:r>
      <w:r w:rsidR="001774B2" w:rsidRPr="00F42E76">
        <w:rPr>
          <w:sz w:val="24"/>
          <w:szCs w:val="24"/>
        </w:rPr>
        <w:t xml:space="preserve"> of work that can be </w:t>
      </w:r>
      <w:r w:rsidR="004E4D6B">
        <w:rPr>
          <w:sz w:val="24"/>
          <w:szCs w:val="24"/>
        </w:rPr>
        <w:t xml:space="preserve">straightforwardly </w:t>
      </w:r>
      <w:r w:rsidR="001774B2" w:rsidRPr="00F42E76">
        <w:rPr>
          <w:sz w:val="24"/>
          <w:szCs w:val="24"/>
        </w:rPr>
        <w:t xml:space="preserve">achieved, and hence is understood </w:t>
      </w:r>
      <w:r w:rsidR="00CC1668" w:rsidRPr="00F42E76">
        <w:rPr>
          <w:sz w:val="24"/>
          <w:szCs w:val="24"/>
        </w:rPr>
        <w:t>by many</w:t>
      </w:r>
      <w:r w:rsidR="001774B2" w:rsidRPr="00F42E76">
        <w:rPr>
          <w:sz w:val="24"/>
          <w:szCs w:val="24"/>
        </w:rPr>
        <w:t xml:space="preserve"> as superior to other</w:t>
      </w:r>
      <w:r w:rsidR="004E4D6B">
        <w:rPr>
          <w:sz w:val="24"/>
          <w:szCs w:val="24"/>
        </w:rPr>
        <w:t xml:space="preserve"> modes of working</w:t>
      </w:r>
      <w:r w:rsidR="001774B2" w:rsidRPr="00F42E76">
        <w:rPr>
          <w:sz w:val="24"/>
          <w:szCs w:val="24"/>
        </w:rPr>
        <w:t>.</w:t>
      </w:r>
      <w:r w:rsidR="00B7475A" w:rsidRPr="00F42E76">
        <w:rPr>
          <w:rStyle w:val="EndnoteReference"/>
          <w:sz w:val="24"/>
          <w:szCs w:val="24"/>
        </w:rPr>
        <w:endnoteReference w:id="32"/>
      </w:r>
    </w:p>
    <w:p w14:paraId="37366FFE" w14:textId="77777777" w:rsidR="004E4D6B" w:rsidRDefault="004E4D6B" w:rsidP="004E4D6B">
      <w:pPr>
        <w:spacing w:line="480" w:lineRule="auto"/>
        <w:rPr>
          <w:sz w:val="24"/>
          <w:szCs w:val="24"/>
        </w:rPr>
      </w:pPr>
    </w:p>
    <w:p w14:paraId="490CB451" w14:textId="4C104F65" w:rsidR="00CC1668" w:rsidRPr="00F42E76" w:rsidRDefault="004E4D6B" w:rsidP="000837E5">
      <w:pPr>
        <w:spacing w:line="480" w:lineRule="auto"/>
        <w:rPr>
          <w:sz w:val="24"/>
          <w:szCs w:val="24"/>
        </w:rPr>
      </w:pPr>
      <w:r>
        <w:rPr>
          <w:sz w:val="24"/>
          <w:szCs w:val="24"/>
        </w:rPr>
        <w:lastRenderedPageBreak/>
        <w:t>Although Blanca and Juan found ways to work that were agreeable to their own dispositions within the market for woodcarvings, these decisions had implications</w:t>
      </w:r>
      <w:r w:rsidR="009E4505">
        <w:rPr>
          <w:sz w:val="24"/>
          <w:szCs w:val="24"/>
        </w:rPr>
        <w:t xml:space="preserve"> for them</w:t>
      </w:r>
      <w:r>
        <w:rPr>
          <w:sz w:val="24"/>
          <w:szCs w:val="24"/>
        </w:rPr>
        <w:t>. Blanca’s work did not attract higher-paying customers who looked for the particular qualities of “craftsmanship” discussed above, and she was not able to cultivate connections with important patrons like gallery owners and government officials who hold significant influence in the art world</w:t>
      </w:r>
      <w:r w:rsidR="009E4505">
        <w:rPr>
          <w:sz w:val="24"/>
          <w:szCs w:val="24"/>
        </w:rPr>
        <w:t>s</w:t>
      </w:r>
      <w:r>
        <w:rPr>
          <w:sz w:val="24"/>
          <w:szCs w:val="24"/>
        </w:rPr>
        <w:t xml:space="preserve"> of Mexican craftwork.</w:t>
      </w:r>
      <w:r>
        <w:rPr>
          <w:rStyle w:val="EndnoteReference"/>
          <w:sz w:val="24"/>
          <w:szCs w:val="24"/>
        </w:rPr>
        <w:endnoteReference w:id="33"/>
      </w:r>
      <w:r>
        <w:rPr>
          <w:sz w:val="24"/>
          <w:szCs w:val="24"/>
        </w:rPr>
        <w:t xml:space="preserve"> Juan</w:t>
      </w:r>
      <w:r w:rsidR="009E4505">
        <w:rPr>
          <w:sz w:val="24"/>
          <w:szCs w:val="24"/>
        </w:rPr>
        <w:t xml:space="preserve">’s reluctance to develop his artisanal skills meant that he was unlikely to secure higher wages at the </w:t>
      </w:r>
      <w:proofErr w:type="spellStart"/>
      <w:r w:rsidR="009E4505">
        <w:rPr>
          <w:sz w:val="24"/>
          <w:szCs w:val="24"/>
        </w:rPr>
        <w:t>Garcías</w:t>
      </w:r>
      <w:proofErr w:type="spellEnd"/>
      <w:r w:rsidR="009E4505">
        <w:rPr>
          <w:sz w:val="24"/>
          <w:szCs w:val="24"/>
        </w:rPr>
        <w:t xml:space="preserve">’ or to be able to strike out on his own by taking over his father’s workshop. There were also </w:t>
      </w:r>
      <w:r>
        <w:rPr>
          <w:sz w:val="24"/>
          <w:szCs w:val="24"/>
        </w:rPr>
        <w:t>political implications: in craft communities like San Martín, where access to outsiders and opportunities for promotion can affect the fortunes of most families, recognition in the markets for ethnic arts and crafts easily translates into authority and power at the village</w:t>
      </w:r>
      <w:r w:rsidR="009E4505">
        <w:rPr>
          <w:sz w:val="24"/>
          <w:szCs w:val="24"/>
        </w:rPr>
        <w:t>, family and interpersonal</w:t>
      </w:r>
      <w:r>
        <w:rPr>
          <w:sz w:val="24"/>
          <w:szCs w:val="24"/>
        </w:rPr>
        <w:t xml:space="preserve"> level</w:t>
      </w:r>
      <w:r w:rsidR="009E4505">
        <w:rPr>
          <w:sz w:val="24"/>
          <w:szCs w:val="24"/>
        </w:rPr>
        <w:t>s</w:t>
      </w:r>
      <w:r>
        <w:rPr>
          <w:sz w:val="24"/>
          <w:szCs w:val="24"/>
        </w:rPr>
        <w:t>.</w:t>
      </w:r>
      <w:r>
        <w:rPr>
          <w:rStyle w:val="EndnoteReference"/>
          <w:sz w:val="24"/>
          <w:szCs w:val="24"/>
        </w:rPr>
        <w:endnoteReference w:id="34"/>
      </w:r>
      <w:r>
        <w:rPr>
          <w:sz w:val="24"/>
          <w:szCs w:val="24"/>
        </w:rPr>
        <w:t xml:space="preserve"> </w:t>
      </w:r>
    </w:p>
    <w:p w14:paraId="072FC159" w14:textId="77777777" w:rsidR="009E4505" w:rsidRDefault="009E4505" w:rsidP="000837E5">
      <w:pPr>
        <w:spacing w:line="480" w:lineRule="auto"/>
        <w:rPr>
          <w:sz w:val="24"/>
          <w:szCs w:val="24"/>
        </w:rPr>
      </w:pPr>
    </w:p>
    <w:p w14:paraId="076E5E0C" w14:textId="7D2BAFC0" w:rsidR="00CC1668" w:rsidRPr="00F42E76" w:rsidRDefault="00CC1668" w:rsidP="000837E5">
      <w:pPr>
        <w:spacing w:line="480" w:lineRule="auto"/>
        <w:rPr>
          <w:sz w:val="24"/>
          <w:szCs w:val="24"/>
        </w:rPr>
      </w:pPr>
      <w:r w:rsidRPr="00F42E76">
        <w:rPr>
          <w:sz w:val="24"/>
          <w:szCs w:val="24"/>
        </w:rPr>
        <w:t>While</w:t>
      </w:r>
      <w:r w:rsidR="009E4505">
        <w:rPr>
          <w:sz w:val="24"/>
          <w:szCs w:val="24"/>
        </w:rPr>
        <w:t xml:space="preserve"> Oaxacan artisans’</w:t>
      </w:r>
      <w:r w:rsidRPr="00F42E76">
        <w:rPr>
          <w:sz w:val="24"/>
          <w:szCs w:val="24"/>
        </w:rPr>
        <w:t xml:space="preserve"> assessment</w:t>
      </w:r>
      <w:r w:rsidR="009E4505">
        <w:rPr>
          <w:sz w:val="24"/>
          <w:szCs w:val="24"/>
        </w:rPr>
        <w:t>s</w:t>
      </w:r>
      <w:r w:rsidRPr="00F42E76">
        <w:rPr>
          <w:sz w:val="24"/>
          <w:szCs w:val="24"/>
        </w:rPr>
        <w:t xml:space="preserve"> of what constitutes “good” and “bad” artisan</w:t>
      </w:r>
      <w:r w:rsidR="009E4505">
        <w:rPr>
          <w:sz w:val="24"/>
          <w:szCs w:val="24"/>
        </w:rPr>
        <w:t xml:space="preserve">al work </w:t>
      </w:r>
      <w:r w:rsidRPr="00F42E76">
        <w:rPr>
          <w:sz w:val="24"/>
          <w:szCs w:val="24"/>
        </w:rPr>
        <w:t>makes sense from</w:t>
      </w:r>
      <w:r w:rsidR="00CC7C7E">
        <w:rPr>
          <w:sz w:val="24"/>
          <w:szCs w:val="24"/>
        </w:rPr>
        <w:t xml:space="preserve"> their</w:t>
      </w:r>
      <w:r w:rsidRPr="00F42E76">
        <w:rPr>
          <w:sz w:val="24"/>
          <w:szCs w:val="24"/>
        </w:rPr>
        <w:t xml:space="preserve"> </w:t>
      </w:r>
      <w:r w:rsidR="00546289" w:rsidRPr="00F42E76">
        <w:rPr>
          <w:sz w:val="24"/>
          <w:szCs w:val="24"/>
        </w:rPr>
        <w:t>local on</w:t>
      </w:r>
      <w:r w:rsidR="00EA2F74" w:rsidRPr="00F42E76">
        <w:rPr>
          <w:sz w:val="24"/>
          <w:szCs w:val="24"/>
        </w:rPr>
        <w:t>-t</w:t>
      </w:r>
      <w:r w:rsidR="00546289" w:rsidRPr="00F42E76">
        <w:rPr>
          <w:sz w:val="24"/>
          <w:szCs w:val="24"/>
        </w:rPr>
        <w:t>he</w:t>
      </w:r>
      <w:r w:rsidR="00EA2F74" w:rsidRPr="00F42E76">
        <w:rPr>
          <w:sz w:val="24"/>
          <w:szCs w:val="24"/>
        </w:rPr>
        <w:t>-</w:t>
      </w:r>
      <w:r w:rsidR="00546289" w:rsidRPr="00F42E76">
        <w:rPr>
          <w:sz w:val="24"/>
          <w:szCs w:val="24"/>
        </w:rPr>
        <w:t>ground perspective</w:t>
      </w:r>
      <w:r w:rsidR="009E4505">
        <w:rPr>
          <w:sz w:val="24"/>
          <w:szCs w:val="24"/>
        </w:rPr>
        <w:t>s</w:t>
      </w:r>
      <w:r w:rsidR="00546289" w:rsidRPr="00F42E76">
        <w:rPr>
          <w:sz w:val="24"/>
          <w:szCs w:val="24"/>
        </w:rPr>
        <w:t xml:space="preserve">, we should be aware of reinforcing such judgements </w:t>
      </w:r>
      <w:r w:rsidR="006350E0">
        <w:rPr>
          <w:sz w:val="24"/>
          <w:szCs w:val="24"/>
        </w:rPr>
        <w:t>in</w:t>
      </w:r>
      <w:r w:rsidR="00546289" w:rsidRPr="00F42E76">
        <w:rPr>
          <w:sz w:val="24"/>
          <w:szCs w:val="24"/>
        </w:rPr>
        <w:t xml:space="preserve"> our scholarship. Analytical frameworks that emerge from what I have argued are essentially ethical positions about the value of craft</w:t>
      </w:r>
      <w:r w:rsidR="00EA2F74" w:rsidRPr="00F42E76">
        <w:rPr>
          <w:sz w:val="24"/>
          <w:szCs w:val="24"/>
        </w:rPr>
        <w:t>,</w:t>
      </w:r>
      <w:r w:rsidR="00546289" w:rsidRPr="00F42E76">
        <w:rPr>
          <w:sz w:val="24"/>
          <w:szCs w:val="24"/>
        </w:rPr>
        <w:t xml:space="preserve"> are </w:t>
      </w:r>
      <w:r w:rsidR="00EA2F74" w:rsidRPr="00F42E76">
        <w:rPr>
          <w:sz w:val="24"/>
          <w:szCs w:val="24"/>
        </w:rPr>
        <w:t xml:space="preserve">unlikely to be able to take Blanca and Juan on their own terms. More critically, when we start from a position that craft is valuable because it is by its very nature something that is made with quality through shared skills and values, we dismiss Blanca and Juan and others like them from the category of “craftsperson.” This not only impoverishes our ability to understand the nature of craft and artisanship, but also profoundly devalues the work and lives of people who make their living through producing objects by hand for national and global markets well beyond their </w:t>
      </w:r>
      <w:r w:rsidR="00EA2F74" w:rsidRPr="00F42E76">
        <w:rPr>
          <w:sz w:val="24"/>
          <w:szCs w:val="24"/>
        </w:rPr>
        <w:lastRenderedPageBreak/>
        <w:t xml:space="preserve">control. Although we as scholars of craft may be motivated by our own experiences and desires for skill and </w:t>
      </w:r>
      <w:r w:rsidR="000557AC" w:rsidRPr="00F42E76">
        <w:rPr>
          <w:sz w:val="24"/>
          <w:szCs w:val="24"/>
        </w:rPr>
        <w:t xml:space="preserve">quality, we must pay more attention to whom gets left out </w:t>
      </w:r>
      <w:r w:rsidR="00CC7C7E">
        <w:rPr>
          <w:sz w:val="24"/>
          <w:szCs w:val="24"/>
        </w:rPr>
        <w:t xml:space="preserve">– or </w:t>
      </w:r>
      <w:r w:rsidR="000557AC" w:rsidRPr="00F42E76">
        <w:rPr>
          <w:sz w:val="24"/>
          <w:szCs w:val="24"/>
        </w:rPr>
        <w:t xml:space="preserve">pushed out </w:t>
      </w:r>
      <w:r w:rsidR="00CC7C7E">
        <w:rPr>
          <w:sz w:val="24"/>
          <w:szCs w:val="24"/>
        </w:rPr>
        <w:t xml:space="preserve">– of </w:t>
      </w:r>
      <w:r w:rsidR="000557AC" w:rsidRPr="00F42E76">
        <w:rPr>
          <w:sz w:val="24"/>
          <w:szCs w:val="24"/>
        </w:rPr>
        <w:t>our analytical frames.</w:t>
      </w:r>
      <w:r w:rsidR="00CC7C7E">
        <w:rPr>
          <w:sz w:val="24"/>
          <w:szCs w:val="24"/>
        </w:rPr>
        <w:t xml:space="preserve"> In paying closer attention to the politics of our own scholarly practices, we may be able to intervene in the political field of craft itself by making the practices of </w:t>
      </w:r>
      <w:r w:rsidR="00CC7C7E" w:rsidRPr="00CC7C7E">
        <w:rPr>
          <w:i/>
          <w:iCs/>
          <w:sz w:val="24"/>
          <w:szCs w:val="24"/>
        </w:rPr>
        <w:t xml:space="preserve">all </w:t>
      </w:r>
      <w:r w:rsidR="00CC7C7E">
        <w:rPr>
          <w:sz w:val="24"/>
          <w:szCs w:val="24"/>
        </w:rPr>
        <w:t>artisans recognisable and valuable within a more inclusive perspective on “craftsmanship.”</w:t>
      </w:r>
    </w:p>
    <w:p w14:paraId="301AA4F0" w14:textId="77777777" w:rsidR="001774B2" w:rsidRPr="00F42E76" w:rsidRDefault="001774B2" w:rsidP="001774B2"/>
    <w:sectPr w:rsidR="001774B2" w:rsidRPr="00F42E76">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47AC3" w14:textId="77777777" w:rsidR="006558D1" w:rsidRDefault="006558D1" w:rsidP="006D0E3B">
      <w:pPr>
        <w:spacing w:after="0" w:line="240" w:lineRule="auto"/>
      </w:pPr>
      <w:r>
        <w:separator/>
      </w:r>
    </w:p>
  </w:endnote>
  <w:endnote w:type="continuationSeparator" w:id="0">
    <w:p w14:paraId="5C860604" w14:textId="77777777" w:rsidR="006558D1" w:rsidRDefault="006558D1" w:rsidP="006D0E3B">
      <w:pPr>
        <w:spacing w:after="0" w:line="240" w:lineRule="auto"/>
      </w:pPr>
      <w:r>
        <w:continuationSeparator/>
      </w:r>
    </w:p>
  </w:endnote>
  <w:endnote w:id="1">
    <w:p w14:paraId="7281B223" w14:textId="67EA2EAE" w:rsidR="00913066" w:rsidRDefault="00913066">
      <w:pPr>
        <w:pStyle w:val="EndnoteText"/>
      </w:pPr>
      <w:r>
        <w:rPr>
          <w:rStyle w:val="EndnoteReference"/>
        </w:rPr>
        <w:endnoteRef/>
      </w:r>
      <w:r w:rsidR="00033F03">
        <w:t xml:space="preserve"> </w:t>
      </w:r>
      <w:r>
        <w:t>I thank D Wood, M</w:t>
      </w:r>
      <w:r>
        <w:rPr>
          <w:rFonts w:cstheme="minorHAnsi"/>
        </w:rPr>
        <w:t>é</w:t>
      </w:r>
      <w:r>
        <w:t>adhbh McIvor</w:t>
      </w:r>
      <w:r w:rsidR="000C4CD9">
        <w:t>, Daniela Peluso, Andrew Sanchez</w:t>
      </w:r>
      <w:r>
        <w:t xml:space="preserve"> and Miranda Sheild-Johansson for their insightful comments on</w:t>
      </w:r>
      <w:r w:rsidR="000C4CD9">
        <w:t xml:space="preserve"> versions of</w:t>
      </w:r>
      <w:r>
        <w:t xml:space="preserve"> this text.</w:t>
      </w:r>
    </w:p>
    <w:p w14:paraId="3E0B93E1" w14:textId="6694B8C8" w:rsidR="00913066" w:rsidRDefault="00913066">
      <w:pPr>
        <w:pStyle w:val="EndnoteText"/>
      </w:pPr>
      <w:r>
        <w:t xml:space="preserve"> </w:t>
      </w:r>
    </w:p>
  </w:endnote>
  <w:endnote w:id="2">
    <w:p w14:paraId="33511AFB" w14:textId="77777777" w:rsidR="001D426F" w:rsidRPr="00DA3A1B" w:rsidRDefault="001D426F">
      <w:pPr>
        <w:pStyle w:val="EndnoteText"/>
        <w:rPr>
          <w:rFonts w:cstheme="minorHAnsi"/>
        </w:rPr>
      </w:pPr>
      <w:r w:rsidRPr="00DA3A1B">
        <w:rPr>
          <w:rStyle w:val="EndnoteReference"/>
          <w:rFonts w:cstheme="minorHAnsi"/>
        </w:rPr>
        <w:endnoteRef/>
      </w:r>
      <w:r w:rsidRPr="00DA3A1B">
        <w:rPr>
          <w:rFonts w:cstheme="minorHAnsi"/>
        </w:rPr>
        <w:t xml:space="preserve"> Clare Wilkinson Weber and Alicia </w:t>
      </w:r>
      <w:r w:rsidRPr="00DA3A1B">
        <w:rPr>
          <w:rFonts w:cstheme="minorHAnsi"/>
        </w:rPr>
        <w:t xml:space="preserve">Ory DeNicola, ‘Introduction: Taking stock of craft in anthropology,’ in </w:t>
      </w:r>
      <w:r w:rsidRPr="00DA3A1B">
        <w:rPr>
          <w:rFonts w:cstheme="minorHAnsi"/>
          <w:i/>
        </w:rPr>
        <w:t>Critical Craft: Technology, Globalization and Capitalism</w:t>
      </w:r>
      <w:r w:rsidRPr="00DA3A1B">
        <w:rPr>
          <w:rFonts w:cstheme="minorHAnsi"/>
        </w:rPr>
        <w:t>, eds. Clare Wilkinson-Weber and Alicia Ory DeNicola. (London: Bloomsbury, 2016), 1-16.</w:t>
      </w:r>
    </w:p>
    <w:p w14:paraId="4984E460" w14:textId="77777777" w:rsidR="001D426F" w:rsidRPr="00DA3A1B" w:rsidRDefault="001D426F">
      <w:pPr>
        <w:pStyle w:val="EndnoteText"/>
        <w:rPr>
          <w:rFonts w:cstheme="minorHAnsi"/>
        </w:rPr>
      </w:pPr>
    </w:p>
  </w:endnote>
  <w:endnote w:id="3">
    <w:p w14:paraId="0A3A24E0" w14:textId="77777777" w:rsidR="001D426F" w:rsidRPr="00DA3A1B" w:rsidRDefault="001D426F" w:rsidP="00154426">
      <w:pPr>
        <w:pStyle w:val="EndnoteText"/>
        <w:rPr>
          <w:rFonts w:cstheme="minorHAnsi"/>
        </w:rPr>
      </w:pPr>
      <w:r w:rsidRPr="00DA3A1B">
        <w:rPr>
          <w:rStyle w:val="EndnoteReference"/>
          <w:rFonts w:cstheme="minorHAnsi"/>
        </w:rPr>
        <w:endnoteRef/>
      </w:r>
      <w:r w:rsidRPr="00DA3A1B">
        <w:rPr>
          <w:rFonts w:cstheme="minorHAnsi"/>
        </w:rPr>
        <w:t xml:space="preserve"> Heather Paxson, </w:t>
      </w:r>
      <w:r w:rsidRPr="00DA3A1B">
        <w:rPr>
          <w:rFonts w:cstheme="minorHAnsi"/>
          <w:i/>
        </w:rPr>
        <w:t>The Life of Cheese: Crafting food and value in America</w:t>
      </w:r>
      <w:r w:rsidRPr="00DA3A1B">
        <w:rPr>
          <w:rFonts w:cstheme="minorHAnsi"/>
        </w:rPr>
        <w:t xml:space="preserve"> (Berkeley: University of California Press, 2012).</w:t>
      </w:r>
    </w:p>
    <w:p w14:paraId="73A54B5C" w14:textId="77777777" w:rsidR="001D426F" w:rsidRPr="00DA3A1B" w:rsidRDefault="001D426F" w:rsidP="00154426">
      <w:pPr>
        <w:pStyle w:val="EndnoteText"/>
        <w:rPr>
          <w:rFonts w:cstheme="minorHAnsi"/>
        </w:rPr>
      </w:pPr>
    </w:p>
    <w:p w14:paraId="27490C26" w14:textId="77777777" w:rsidR="001D426F" w:rsidRPr="00DA3A1B" w:rsidRDefault="001D426F" w:rsidP="00154426">
      <w:pPr>
        <w:pStyle w:val="EndnoteText"/>
        <w:rPr>
          <w:rFonts w:cstheme="minorHAnsi"/>
        </w:rPr>
      </w:pPr>
      <w:r w:rsidRPr="00DA3A1B">
        <w:rPr>
          <w:rFonts w:cstheme="minorHAnsi"/>
        </w:rPr>
        <w:t xml:space="preserve">Susan Terrio, ‘Visions of Excess: Crafting good chocolate in France and the United States,’ in </w:t>
      </w:r>
      <w:r w:rsidRPr="00DA3A1B">
        <w:rPr>
          <w:rFonts w:cstheme="minorHAnsi"/>
          <w:i/>
        </w:rPr>
        <w:t>Critical Craft: Technology, Globalization and Capitalism</w:t>
      </w:r>
      <w:r w:rsidRPr="00DA3A1B">
        <w:rPr>
          <w:rFonts w:cstheme="minorHAnsi"/>
        </w:rPr>
        <w:t>, eds. Clare Wilkinson-Weber and Alicia Ory DeNicola. (London: Bloomsbury, 2016), 135-151.</w:t>
      </w:r>
    </w:p>
    <w:p w14:paraId="3863CDDF" w14:textId="77777777" w:rsidR="001D426F" w:rsidRPr="00DA3A1B" w:rsidRDefault="001D426F" w:rsidP="00154426">
      <w:pPr>
        <w:pStyle w:val="EndnoteText"/>
        <w:rPr>
          <w:rFonts w:cstheme="minorHAnsi"/>
        </w:rPr>
      </w:pPr>
    </w:p>
  </w:endnote>
  <w:endnote w:id="4">
    <w:p w14:paraId="67DDA319" w14:textId="4717FD9E" w:rsidR="001D426F" w:rsidRPr="00DA3A1B" w:rsidRDefault="001D426F">
      <w:pPr>
        <w:pStyle w:val="EndnoteText"/>
        <w:rPr>
          <w:rFonts w:cstheme="minorHAnsi"/>
        </w:rPr>
      </w:pPr>
      <w:r w:rsidRPr="00DA3A1B">
        <w:rPr>
          <w:rStyle w:val="EndnoteReference"/>
          <w:rFonts w:cstheme="minorHAnsi"/>
        </w:rPr>
        <w:endnoteRef/>
      </w:r>
      <w:r w:rsidRPr="00DA3A1B">
        <w:rPr>
          <w:rFonts w:cstheme="minorHAnsi"/>
        </w:rPr>
        <w:t xml:space="preserve"> Frances Mascia-Lees, ‘American Beauty: The </w:t>
      </w:r>
      <w:r w:rsidR="00FD3D4D">
        <w:rPr>
          <w:rFonts w:cstheme="minorHAnsi"/>
        </w:rPr>
        <w:t>M</w:t>
      </w:r>
      <w:r w:rsidRPr="00DA3A1B">
        <w:rPr>
          <w:rFonts w:cstheme="minorHAnsi"/>
        </w:rPr>
        <w:t xml:space="preserve">iddle </w:t>
      </w:r>
      <w:r w:rsidR="00FD3D4D">
        <w:rPr>
          <w:rFonts w:cstheme="minorHAnsi"/>
        </w:rPr>
        <w:t>C</w:t>
      </w:r>
      <w:r w:rsidRPr="00DA3A1B">
        <w:rPr>
          <w:rFonts w:cstheme="minorHAnsi"/>
        </w:rPr>
        <w:t xml:space="preserve">lass Arts and Crafts Revival in the United States,’ in </w:t>
      </w:r>
      <w:r w:rsidRPr="00DA3A1B">
        <w:rPr>
          <w:rFonts w:cstheme="minorHAnsi"/>
          <w:i/>
        </w:rPr>
        <w:t>Critical Craft: Technology, Globalization and Capitalism</w:t>
      </w:r>
      <w:r w:rsidRPr="00DA3A1B">
        <w:rPr>
          <w:rFonts w:cstheme="minorHAnsi"/>
        </w:rPr>
        <w:t>, eds. Clare Wilkinson-Weber and Alicia Ory DeNicola. (London: Bloomsbury, 2016), 57-77.</w:t>
      </w:r>
    </w:p>
    <w:p w14:paraId="3CC6F409" w14:textId="77777777" w:rsidR="001D426F" w:rsidRPr="00DA3A1B" w:rsidRDefault="001D426F">
      <w:pPr>
        <w:pStyle w:val="EndnoteText"/>
        <w:rPr>
          <w:rFonts w:cstheme="minorHAnsi"/>
        </w:rPr>
      </w:pPr>
    </w:p>
  </w:endnote>
  <w:endnote w:id="5">
    <w:p w14:paraId="378CE412" w14:textId="77777777" w:rsidR="001D426F" w:rsidRPr="00DA3A1B" w:rsidRDefault="001D426F">
      <w:pPr>
        <w:pStyle w:val="EndnoteText"/>
        <w:rPr>
          <w:rFonts w:cstheme="minorHAnsi"/>
        </w:rPr>
      </w:pPr>
      <w:r w:rsidRPr="00DA3A1B">
        <w:rPr>
          <w:rStyle w:val="EndnoteReference"/>
          <w:rFonts w:cstheme="minorHAnsi"/>
        </w:rPr>
        <w:endnoteRef/>
      </w:r>
      <w:r w:rsidRPr="00DA3A1B">
        <w:rPr>
          <w:rFonts w:cstheme="minorHAnsi"/>
        </w:rPr>
        <w:t xml:space="preserve"> Eileen Boris, ‘Crafts Shop or Sweatshop? The Uses and Abuses of Craftsmanship in Twentieth Century America,’ </w:t>
      </w:r>
      <w:r w:rsidRPr="00DA3A1B">
        <w:rPr>
          <w:rFonts w:cstheme="minorHAnsi"/>
          <w:i/>
        </w:rPr>
        <w:t xml:space="preserve">Journal of Design History </w:t>
      </w:r>
      <w:r w:rsidRPr="00DA3A1B">
        <w:rPr>
          <w:rFonts w:cstheme="minorHAnsi"/>
        </w:rPr>
        <w:t>Vol.2, No. 2/3 (1989).</w:t>
      </w:r>
    </w:p>
    <w:p w14:paraId="33166879" w14:textId="77777777" w:rsidR="001D426F" w:rsidRPr="00DA3A1B" w:rsidRDefault="001D426F">
      <w:pPr>
        <w:pStyle w:val="EndnoteText"/>
        <w:rPr>
          <w:rFonts w:cstheme="minorHAnsi"/>
        </w:rPr>
      </w:pPr>
    </w:p>
    <w:p w14:paraId="7DB2ACF1" w14:textId="7E696AFD" w:rsidR="001D426F" w:rsidRPr="00DA3A1B" w:rsidRDefault="001D426F">
      <w:pPr>
        <w:pStyle w:val="EndnoteText"/>
        <w:rPr>
          <w:rFonts w:cstheme="minorHAnsi"/>
        </w:rPr>
      </w:pPr>
      <w:r w:rsidRPr="00DA3A1B">
        <w:rPr>
          <w:rFonts w:cstheme="minorHAnsi"/>
        </w:rPr>
        <w:t xml:space="preserve">Etymologically, the </w:t>
      </w:r>
      <w:r w:rsidRPr="00DA3A1B">
        <w:rPr>
          <w:rFonts w:cstheme="minorHAnsi"/>
          <w:i/>
        </w:rPr>
        <w:t>-ship</w:t>
      </w:r>
      <w:r w:rsidRPr="00DA3A1B">
        <w:rPr>
          <w:rFonts w:cstheme="minorHAnsi"/>
        </w:rPr>
        <w:t xml:space="preserve"> suffix derives from proto-German through Old English, and until the 19</w:t>
      </w:r>
      <w:r w:rsidRPr="00DA3A1B">
        <w:rPr>
          <w:rFonts w:cstheme="minorHAnsi"/>
          <w:vertAlign w:val="superscript"/>
        </w:rPr>
        <w:t>th</w:t>
      </w:r>
      <w:r w:rsidRPr="00DA3A1B">
        <w:rPr>
          <w:rFonts w:cstheme="minorHAnsi"/>
        </w:rPr>
        <w:t xml:space="preserve"> century only denoted a condition of being (as in “apprenticeship,” the condition of being an apprentice), rather than any inherent qualities of the person; T.F. Hoad, ed. ‘-ship,’ in </w:t>
      </w:r>
      <w:r w:rsidRPr="00DA3A1B">
        <w:rPr>
          <w:rFonts w:cstheme="minorHAnsi"/>
          <w:i/>
        </w:rPr>
        <w:t xml:space="preserve">The Concise Dictionary of English Etymology </w:t>
      </w:r>
      <w:r w:rsidRPr="00DA3A1B">
        <w:rPr>
          <w:rFonts w:cstheme="minorHAnsi"/>
        </w:rPr>
        <w:t xml:space="preserve">(Oxford: Oxford University Press, 1996).  </w:t>
      </w:r>
    </w:p>
    <w:p w14:paraId="4AA1823A" w14:textId="77777777" w:rsidR="001D426F" w:rsidRPr="00DA3A1B" w:rsidRDefault="001D426F">
      <w:pPr>
        <w:pStyle w:val="EndnoteText"/>
        <w:rPr>
          <w:rFonts w:cstheme="minorHAnsi"/>
        </w:rPr>
      </w:pPr>
    </w:p>
  </w:endnote>
  <w:endnote w:id="6">
    <w:p w14:paraId="310DBB78" w14:textId="77777777" w:rsidR="001D426F" w:rsidRPr="00DA3A1B" w:rsidRDefault="001D426F">
      <w:pPr>
        <w:pStyle w:val="EndnoteText"/>
        <w:rPr>
          <w:rFonts w:cstheme="minorHAnsi"/>
        </w:rPr>
      </w:pPr>
      <w:r w:rsidRPr="00DA3A1B">
        <w:rPr>
          <w:rStyle w:val="EndnoteReference"/>
          <w:rFonts w:cstheme="minorHAnsi"/>
        </w:rPr>
        <w:endnoteRef/>
      </w:r>
      <w:r w:rsidRPr="00DA3A1B">
        <w:rPr>
          <w:rFonts w:cstheme="minorHAnsi"/>
        </w:rPr>
        <w:t xml:space="preserve"> I conducted twenty months of research in San Martín Tilcajete, Oaxaca, Mexico from 2008-2009. This research was funded by the Emslie Horniman Fund from the Royal Anthropological Institute. </w:t>
      </w:r>
    </w:p>
    <w:p w14:paraId="76DDC09C" w14:textId="77777777" w:rsidR="001D426F" w:rsidRPr="00DA3A1B" w:rsidRDefault="001D426F">
      <w:pPr>
        <w:pStyle w:val="EndnoteText"/>
        <w:rPr>
          <w:rFonts w:cstheme="minorHAnsi"/>
        </w:rPr>
      </w:pPr>
    </w:p>
  </w:endnote>
  <w:endnote w:id="7">
    <w:p w14:paraId="34330E98" w14:textId="77777777" w:rsidR="001D426F" w:rsidRPr="00DA3A1B" w:rsidRDefault="001D426F" w:rsidP="00E857E9">
      <w:pPr>
        <w:pStyle w:val="NoSpacing"/>
        <w:ind w:left="284" w:hanging="284"/>
        <w:rPr>
          <w:rFonts w:asciiTheme="minorHAnsi" w:hAnsiTheme="minorHAnsi" w:cstheme="minorHAnsi"/>
        </w:rPr>
      </w:pPr>
      <w:r w:rsidRPr="00DA3A1B">
        <w:rPr>
          <w:rStyle w:val="EndnoteReference"/>
          <w:rFonts w:asciiTheme="minorHAnsi" w:hAnsiTheme="minorHAnsi" w:cstheme="minorHAnsi"/>
        </w:rPr>
        <w:endnoteRef/>
      </w:r>
      <w:r w:rsidRPr="00DA3A1B">
        <w:rPr>
          <w:rFonts w:asciiTheme="minorHAnsi" w:hAnsiTheme="minorHAnsi" w:cstheme="minorHAnsi"/>
        </w:rPr>
        <w:t xml:space="preserve"> </w:t>
      </w:r>
      <w:r w:rsidRPr="00DA3A1B">
        <w:rPr>
          <w:rFonts w:asciiTheme="minorHAnsi" w:hAnsiTheme="minorHAnsi" w:cstheme="minorHAnsi"/>
          <w:lang w:val="en-US"/>
        </w:rPr>
        <w:t xml:space="preserve">Pierre Bourdieu </w:t>
      </w:r>
      <w:r w:rsidRPr="00DA3A1B">
        <w:rPr>
          <w:rFonts w:asciiTheme="minorHAnsi" w:hAnsiTheme="minorHAnsi" w:cstheme="minorHAnsi"/>
          <w:i/>
        </w:rPr>
        <w:t xml:space="preserve">Distinction: A Social Critique of the Judgement of Taste, </w:t>
      </w:r>
      <w:r w:rsidRPr="00DA3A1B">
        <w:rPr>
          <w:rFonts w:asciiTheme="minorHAnsi" w:hAnsiTheme="minorHAnsi" w:cstheme="minorHAnsi"/>
        </w:rPr>
        <w:t>trans. Richard Nice.</w:t>
      </w:r>
      <w:r w:rsidRPr="00DA3A1B">
        <w:rPr>
          <w:rFonts w:asciiTheme="minorHAnsi" w:hAnsiTheme="minorHAnsi" w:cstheme="minorHAnsi"/>
          <w:i/>
        </w:rPr>
        <w:t xml:space="preserve"> </w:t>
      </w:r>
      <w:r w:rsidRPr="00DA3A1B">
        <w:rPr>
          <w:rFonts w:asciiTheme="minorHAnsi" w:hAnsiTheme="minorHAnsi" w:cstheme="minorHAnsi"/>
        </w:rPr>
        <w:t>(Cambridge: Harvard College, and Routledge and Keegan Paul, 1984), p. 173.</w:t>
      </w:r>
    </w:p>
    <w:p w14:paraId="25C3A2AE" w14:textId="77777777" w:rsidR="001D426F" w:rsidRPr="00DA3A1B" w:rsidRDefault="001D426F" w:rsidP="00E857E9">
      <w:pPr>
        <w:pStyle w:val="NoSpacing"/>
        <w:ind w:left="284" w:hanging="284"/>
        <w:rPr>
          <w:rFonts w:asciiTheme="minorHAnsi" w:hAnsiTheme="minorHAnsi" w:cstheme="minorHAnsi"/>
        </w:rPr>
      </w:pPr>
    </w:p>
  </w:endnote>
  <w:endnote w:id="8">
    <w:p w14:paraId="5D44AF4C" w14:textId="77777777" w:rsidR="001D426F" w:rsidRPr="00DA3A1B" w:rsidRDefault="001D426F">
      <w:pPr>
        <w:pStyle w:val="EndnoteText"/>
        <w:rPr>
          <w:rFonts w:cstheme="minorHAnsi"/>
          <w:lang w:val="en-US"/>
        </w:rPr>
      </w:pPr>
      <w:r w:rsidRPr="00DA3A1B">
        <w:rPr>
          <w:rStyle w:val="EndnoteReference"/>
          <w:rFonts w:cstheme="minorHAnsi"/>
        </w:rPr>
        <w:endnoteRef/>
      </w:r>
      <w:r w:rsidRPr="00DA3A1B">
        <w:rPr>
          <w:rFonts w:cstheme="minorHAnsi"/>
        </w:rPr>
        <w:t xml:space="preserve"> </w:t>
      </w:r>
      <w:r w:rsidRPr="00DA3A1B">
        <w:rPr>
          <w:rFonts w:cstheme="minorHAnsi"/>
          <w:lang w:val="en-US"/>
        </w:rPr>
        <w:t xml:space="preserve">William Morris, “The Art of the People.” In </w:t>
      </w:r>
      <w:r w:rsidRPr="00DA3A1B">
        <w:rPr>
          <w:rFonts w:cstheme="minorHAnsi"/>
          <w:i/>
          <w:lang w:val="en-US"/>
        </w:rPr>
        <w:t>On Art and Socialism</w:t>
      </w:r>
      <w:r w:rsidRPr="00DA3A1B">
        <w:rPr>
          <w:rFonts w:cstheme="minorHAnsi"/>
          <w:lang w:val="en-US"/>
        </w:rPr>
        <w:t>, ed. Norman Kelvin. (Mineola: Dover Publications, 1999 [1884]), 31.</w:t>
      </w:r>
    </w:p>
    <w:p w14:paraId="2F05D864" w14:textId="77777777" w:rsidR="001D426F" w:rsidRPr="00DA3A1B" w:rsidRDefault="001D426F">
      <w:pPr>
        <w:pStyle w:val="EndnoteText"/>
        <w:rPr>
          <w:rFonts w:cstheme="minorHAnsi"/>
        </w:rPr>
      </w:pPr>
    </w:p>
  </w:endnote>
  <w:endnote w:id="9">
    <w:p w14:paraId="0E4B4FBE" w14:textId="77777777" w:rsidR="001D426F" w:rsidRPr="00DA3A1B" w:rsidRDefault="001D426F" w:rsidP="00327AE0">
      <w:pPr>
        <w:pStyle w:val="EndnoteText"/>
        <w:rPr>
          <w:rFonts w:cstheme="minorHAnsi"/>
        </w:rPr>
      </w:pPr>
      <w:r w:rsidRPr="00DA3A1B">
        <w:rPr>
          <w:rStyle w:val="EndnoteReference"/>
          <w:rFonts w:cstheme="minorHAnsi"/>
        </w:rPr>
        <w:endnoteRef/>
      </w:r>
      <w:r w:rsidRPr="00DA3A1B">
        <w:rPr>
          <w:rFonts w:cstheme="minorHAnsi"/>
        </w:rPr>
        <w:t xml:space="preserve"> This is also in part the result of the languages we use: the contemporary meaning of the English word “craft” cannot be easily divorced from the broadly Marxist principles set out by the Arts and Crafts movement in England and the United States.</w:t>
      </w:r>
    </w:p>
    <w:p w14:paraId="7A3EF693" w14:textId="77777777" w:rsidR="001D426F" w:rsidRPr="00DA3A1B" w:rsidRDefault="001D426F" w:rsidP="00327AE0">
      <w:pPr>
        <w:pStyle w:val="EndnoteText"/>
        <w:rPr>
          <w:rFonts w:cstheme="minorHAnsi"/>
          <w:lang w:val="en-US"/>
        </w:rPr>
      </w:pPr>
    </w:p>
  </w:endnote>
  <w:endnote w:id="10">
    <w:p w14:paraId="5C865B57" w14:textId="77777777" w:rsidR="001D426F" w:rsidRPr="00DA3A1B" w:rsidRDefault="001D426F">
      <w:pPr>
        <w:pStyle w:val="EndnoteText"/>
        <w:rPr>
          <w:rFonts w:cstheme="minorHAnsi"/>
        </w:rPr>
      </w:pPr>
      <w:r w:rsidRPr="00DA3A1B">
        <w:rPr>
          <w:rStyle w:val="EndnoteReference"/>
          <w:rFonts w:cstheme="minorHAnsi"/>
        </w:rPr>
        <w:endnoteRef/>
      </w:r>
      <w:r w:rsidRPr="00DA3A1B">
        <w:rPr>
          <w:rFonts w:cstheme="minorHAnsi"/>
        </w:rPr>
        <w:t xml:space="preserve"> Soumhya Venkatesan, ‘Learning to Weave, Weaving to Learn… What?’ </w:t>
      </w:r>
      <w:r w:rsidRPr="00DA3A1B">
        <w:rPr>
          <w:rFonts w:cstheme="minorHAnsi"/>
          <w:i/>
        </w:rPr>
        <w:t>Journal of the Royal Anthropological Institute</w:t>
      </w:r>
      <w:r w:rsidRPr="00DA3A1B">
        <w:rPr>
          <w:rFonts w:cstheme="minorHAnsi"/>
        </w:rPr>
        <w:t xml:space="preserve"> Vol 16, No. S1 (2010), 173.</w:t>
      </w:r>
    </w:p>
    <w:p w14:paraId="296AEEDA" w14:textId="77777777" w:rsidR="001D426F" w:rsidRPr="00DA3A1B" w:rsidRDefault="001D426F">
      <w:pPr>
        <w:pStyle w:val="EndnoteText"/>
        <w:rPr>
          <w:rFonts w:cstheme="minorHAnsi"/>
        </w:rPr>
      </w:pPr>
    </w:p>
    <w:p w14:paraId="0659D74C" w14:textId="77777777" w:rsidR="001D426F" w:rsidRPr="00DA3A1B" w:rsidRDefault="001D426F">
      <w:pPr>
        <w:pStyle w:val="EndnoteText"/>
        <w:rPr>
          <w:rFonts w:cstheme="minorHAnsi"/>
          <w:lang w:val="en-US"/>
        </w:rPr>
      </w:pPr>
      <w:r w:rsidRPr="00DA3A1B">
        <w:rPr>
          <w:rFonts w:cstheme="minorHAnsi"/>
          <w:lang w:val="en-US"/>
        </w:rPr>
        <w:t>For a detailed critique of the material engagement concept, see Tom Yarrow and Sian Jones, “‘Stone is Stone’: Engagement and Detachment in the Craft of Conservation Masonry.’</w:t>
      </w:r>
      <w:r w:rsidRPr="00DA3A1B">
        <w:rPr>
          <w:rFonts w:cstheme="minorHAnsi"/>
          <w:i/>
          <w:lang w:val="en-US"/>
        </w:rPr>
        <w:t xml:space="preserve"> Journal of the Royal Anthropological Institute </w:t>
      </w:r>
      <w:r w:rsidRPr="00DA3A1B">
        <w:rPr>
          <w:rFonts w:cstheme="minorHAnsi"/>
          <w:lang w:val="en-US"/>
        </w:rPr>
        <w:t xml:space="preserve">Vol 20, No 2 (2014). </w:t>
      </w:r>
    </w:p>
    <w:p w14:paraId="3FA537A1" w14:textId="77777777" w:rsidR="001D426F" w:rsidRPr="00DA3A1B" w:rsidRDefault="001D426F">
      <w:pPr>
        <w:pStyle w:val="EndnoteText"/>
        <w:rPr>
          <w:rFonts w:cstheme="minorHAnsi"/>
        </w:rPr>
      </w:pPr>
    </w:p>
  </w:endnote>
  <w:endnote w:id="11">
    <w:p w14:paraId="4053FE18" w14:textId="77777777" w:rsidR="001D426F" w:rsidRPr="00DA3A1B" w:rsidRDefault="001D426F" w:rsidP="00F43ED0">
      <w:pPr>
        <w:pStyle w:val="EndnoteText"/>
        <w:rPr>
          <w:rFonts w:cstheme="minorHAnsi"/>
        </w:rPr>
      </w:pPr>
      <w:r w:rsidRPr="00DA3A1B">
        <w:rPr>
          <w:rStyle w:val="EndnoteReference"/>
          <w:rFonts w:cstheme="minorHAnsi"/>
        </w:rPr>
        <w:endnoteRef/>
      </w:r>
      <w:r w:rsidRPr="00DA3A1B">
        <w:rPr>
          <w:rFonts w:cstheme="minorHAnsi"/>
        </w:rPr>
        <w:t xml:space="preserve"> Trevor Marchand, </w:t>
      </w:r>
      <w:r w:rsidRPr="00DA3A1B">
        <w:rPr>
          <w:rFonts w:cstheme="minorHAnsi"/>
          <w:i/>
        </w:rPr>
        <w:t xml:space="preserve">Minaret Building and Apprenticeship in Yemen </w:t>
      </w:r>
      <w:r w:rsidRPr="00DA3A1B">
        <w:rPr>
          <w:rFonts w:cstheme="minorHAnsi"/>
        </w:rPr>
        <w:t>(Richmond: Curzon, 2001).</w:t>
      </w:r>
    </w:p>
    <w:p w14:paraId="7147BA0E" w14:textId="77777777" w:rsidR="001D426F" w:rsidRPr="00DA3A1B" w:rsidRDefault="001D426F" w:rsidP="00F43ED0">
      <w:pPr>
        <w:pStyle w:val="EndnoteText"/>
        <w:rPr>
          <w:rFonts w:cstheme="minorHAnsi"/>
        </w:rPr>
      </w:pPr>
    </w:p>
    <w:p w14:paraId="67B99508" w14:textId="77777777" w:rsidR="001D426F" w:rsidRPr="00FD3D4D" w:rsidRDefault="001D426F" w:rsidP="00F43ED0">
      <w:pPr>
        <w:pStyle w:val="EndnoteText"/>
        <w:rPr>
          <w:rFonts w:cstheme="minorHAnsi"/>
          <w:lang w:val="en-US"/>
        </w:rPr>
      </w:pPr>
      <w:r w:rsidRPr="00DA3A1B">
        <w:rPr>
          <w:rFonts w:cstheme="minorHAnsi"/>
        </w:rPr>
        <w:t xml:space="preserve">Trevor </w:t>
      </w:r>
      <w:r w:rsidRPr="00FD3D4D">
        <w:rPr>
          <w:rFonts w:cstheme="minorHAnsi"/>
        </w:rPr>
        <w:t xml:space="preserve">Marchand, ‘Embodied Cognition and Communication: studies with British fine woodworkers, </w:t>
      </w:r>
      <w:r w:rsidRPr="00FD3D4D">
        <w:rPr>
          <w:rFonts w:cstheme="minorHAnsi"/>
          <w:i/>
        </w:rPr>
        <w:t>Journal of the Royal Anthropological Institute</w:t>
      </w:r>
      <w:r w:rsidRPr="00FD3D4D">
        <w:rPr>
          <w:rFonts w:cstheme="minorHAnsi"/>
        </w:rPr>
        <w:t xml:space="preserve"> Vol 16, No 1 (2010). </w:t>
      </w:r>
      <w:r w:rsidRPr="00FD3D4D">
        <w:rPr>
          <w:rFonts w:cstheme="minorHAnsi"/>
          <w:lang w:val="en-US"/>
        </w:rPr>
        <w:t xml:space="preserve"> </w:t>
      </w:r>
    </w:p>
    <w:p w14:paraId="55974E1D" w14:textId="77777777" w:rsidR="001D426F" w:rsidRPr="00FD3D4D" w:rsidRDefault="001D426F" w:rsidP="00F43ED0">
      <w:pPr>
        <w:pStyle w:val="EndnoteText"/>
        <w:rPr>
          <w:rFonts w:cstheme="minorHAnsi"/>
        </w:rPr>
      </w:pPr>
    </w:p>
  </w:endnote>
  <w:endnote w:id="12">
    <w:p w14:paraId="289C9231" w14:textId="77777777" w:rsidR="001D426F" w:rsidRPr="00FD3D4D" w:rsidRDefault="001D426F" w:rsidP="00F43ED0">
      <w:pPr>
        <w:pStyle w:val="EndnoteText"/>
        <w:rPr>
          <w:rFonts w:cstheme="minorHAnsi"/>
        </w:rPr>
      </w:pPr>
      <w:r w:rsidRPr="00FD3D4D">
        <w:rPr>
          <w:rStyle w:val="EndnoteReference"/>
          <w:rFonts w:cstheme="minorHAnsi"/>
        </w:rPr>
        <w:endnoteRef/>
      </w:r>
      <w:r w:rsidRPr="00FD3D4D">
        <w:rPr>
          <w:rFonts w:cstheme="minorHAnsi"/>
        </w:rPr>
        <w:t xml:space="preserve">Richard Sennett, </w:t>
      </w:r>
      <w:r w:rsidRPr="00FD3D4D">
        <w:rPr>
          <w:rFonts w:cstheme="minorHAnsi"/>
          <w:i/>
        </w:rPr>
        <w:t>The Craftsman</w:t>
      </w:r>
      <w:r w:rsidRPr="00FD3D4D">
        <w:rPr>
          <w:rFonts w:cstheme="minorHAnsi"/>
        </w:rPr>
        <w:t xml:space="preserve"> (New Haven: Yale University Press, 2008).</w:t>
      </w:r>
    </w:p>
    <w:p w14:paraId="19A12B9C" w14:textId="77777777" w:rsidR="001D426F" w:rsidRPr="00FD3D4D" w:rsidRDefault="001D426F" w:rsidP="00F43ED0">
      <w:pPr>
        <w:pStyle w:val="EndnoteText"/>
        <w:rPr>
          <w:rFonts w:cstheme="minorHAnsi"/>
        </w:rPr>
      </w:pPr>
    </w:p>
    <w:p w14:paraId="5712AFED" w14:textId="77777777" w:rsidR="001D426F" w:rsidRPr="00FD3D4D" w:rsidRDefault="001D426F" w:rsidP="00F43ED0">
      <w:pPr>
        <w:pStyle w:val="EndnoteText"/>
        <w:rPr>
          <w:rFonts w:cstheme="minorHAnsi"/>
        </w:rPr>
      </w:pPr>
      <w:r w:rsidRPr="00FD3D4D">
        <w:rPr>
          <w:rFonts w:cstheme="minorHAnsi"/>
        </w:rPr>
        <w:t xml:space="preserve">Elizabeth Station, ‘Life in Practice,’ </w:t>
      </w:r>
      <w:r w:rsidRPr="00FD3D4D">
        <w:rPr>
          <w:rFonts w:cstheme="minorHAnsi"/>
          <w:i/>
        </w:rPr>
        <w:t>The University of Chicago Magazine</w:t>
      </w:r>
      <w:r w:rsidRPr="00FD3D4D">
        <w:rPr>
          <w:rFonts w:cstheme="minorHAnsi"/>
        </w:rPr>
        <w:t xml:space="preserve"> Nov-Dec. 2011.</w:t>
      </w:r>
    </w:p>
    <w:p w14:paraId="02F3F00B" w14:textId="77777777" w:rsidR="001D426F" w:rsidRPr="00FD3D4D" w:rsidRDefault="001D426F" w:rsidP="00F43ED0">
      <w:pPr>
        <w:pStyle w:val="EndnoteText"/>
        <w:rPr>
          <w:rFonts w:cstheme="minorHAnsi"/>
        </w:rPr>
      </w:pPr>
    </w:p>
  </w:endnote>
  <w:endnote w:id="13">
    <w:p w14:paraId="634C7A69" w14:textId="77777777" w:rsidR="001D426F" w:rsidRPr="00FD3D4D" w:rsidRDefault="001D426F">
      <w:pPr>
        <w:pStyle w:val="EndnoteText"/>
        <w:rPr>
          <w:rFonts w:cstheme="minorHAnsi"/>
          <w:lang w:val="en-US"/>
        </w:rPr>
      </w:pPr>
      <w:r w:rsidRPr="00FD3D4D">
        <w:rPr>
          <w:rStyle w:val="EndnoteReference"/>
          <w:rFonts w:cstheme="minorHAnsi"/>
        </w:rPr>
        <w:endnoteRef/>
      </w:r>
      <w:r w:rsidRPr="00FD3D4D">
        <w:rPr>
          <w:rFonts w:cstheme="minorHAnsi"/>
        </w:rPr>
        <w:t xml:space="preserve"> Tim Ingold, </w:t>
      </w:r>
      <w:r w:rsidRPr="00FD3D4D">
        <w:rPr>
          <w:rFonts w:cstheme="minorHAnsi"/>
          <w:i/>
          <w:lang w:val="en-US"/>
        </w:rPr>
        <w:t>Making: Anthropology, Archaeology, Art and Architecture</w:t>
      </w:r>
      <w:r w:rsidRPr="00FD3D4D">
        <w:rPr>
          <w:rFonts w:cstheme="minorHAnsi"/>
          <w:lang w:val="en-US"/>
        </w:rPr>
        <w:t xml:space="preserve"> (London: Routledge, 2013). </w:t>
      </w:r>
    </w:p>
    <w:p w14:paraId="0800F2A1" w14:textId="77777777" w:rsidR="001D426F" w:rsidRPr="00FD3D4D" w:rsidRDefault="001D426F">
      <w:pPr>
        <w:pStyle w:val="EndnoteText"/>
        <w:rPr>
          <w:rFonts w:cstheme="minorHAnsi"/>
        </w:rPr>
      </w:pPr>
    </w:p>
  </w:endnote>
  <w:endnote w:id="14">
    <w:p w14:paraId="2768C4DC" w14:textId="77777777" w:rsidR="001D426F" w:rsidRPr="00DA3A1B" w:rsidRDefault="001D426F">
      <w:pPr>
        <w:pStyle w:val="EndnoteText"/>
        <w:rPr>
          <w:rFonts w:cstheme="minorHAnsi"/>
        </w:rPr>
      </w:pPr>
      <w:r w:rsidRPr="00FD3D4D">
        <w:rPr>
          <w:rStyle w:val="EndnoteReference"/>
          <w:rFonts w:cstheme="minorHAnsi"/>
        </w:rPr>
        <w:endnoteRef/>
      </w:r>
      <w:r w:rsidRPr="00FD3D4D">
        <w:rPr>
          <w:rFonts w:cstheme="minorHAnsi"/>
        </w:rPr>
        <w:t xml:space="preserve"> Marchand, ‘Embodied Cognition’.</w:t>
      </w:r>
    </w:p>
    <w:p w14:paraId="7954F280" w14:textId="77777777" w:rsidR="001D426F" w:rsidRPr="00DA3A1B" w:rsidRDefault="001D426F">
      <w:pPr>
        <w:pStyle w:val="EndnoteText"/>
        <w:rPr>
          <w:rFonts w:cstheme="minorHAnsi"/>
        </w:rPr>
      </w:pPr>
    </w:p>
    <w:p w14:paraId="4AE81CC0" w14:textId="77777777" w:rsidR="001D426F" w:rsidRPr="00DA3A1B" w:rsidRDefault="001D426F">
      <w:pPr>
        <w:pStyle w:val="EndnoteText"/>
        <w:rPr>
          <w:rFonts w:cstheme="minorHAnsi"/>
        </w:rPr>
      </w:pPr>
      <w:r w:rsidRPr="00DA3A1B">
        <w:rPr>
          <w:rFonts w:cstheme="minorHAnsi"/>
        </w:rPr>
        <w:t xml:space="preserve">Erin O’Connor, ‘Embodied Knowledge: The Expert of Meaning and the Struggle Towards Proficiency in Glassblowing,’ </w:t>
      </w:r>
      <w:r w:rsidRPr="00DA3A1B">
        <w:rPr>
          <w:rFonts w:cstheme="minorHAnsi"/>
          <w:i/>
        </w:rPr>
        <w:t xml:space="preserve">Ethnography </w:t>
      </w:r>
      <w:r w:rsidRPr="00DA3A1B">
        <w:rPr>
          <w:rFonts w:cstheme="minorHAnsi"/>
        </w:rPr>
        <w:t>Vol 6, No 2(2005).</w:t>
      </w:r>
    </w:p>
    <w:p w14:paraId="45A3BC27" w14:textId="77777777" w:rsidR="001D426F" w:rsidRPr="00DA3A1B" w:rsidRDefault="001D426F">
      <w:pPr>
        <w:pStyle w:val="EndnoteText"/>
        <w:rPr>
          <w:rFonts w:cstheme="minorHAnsi"/>
        </w:rPr>
      </w:pPr>
    </w:p>
    <w:p w14:paraId="637AA3C7" w14:textId="77777777" w:rsidR="001D426F" w:rsidRPr="00DA3A1B" w:rsidRDefault="001D426F">
      <w:pPr>
        <w:pStyle w:val="EndnoteText"/>
        <w:rPr>
          <w:rFonts w:cstheme="minorHAnsi"/>
        </w:rPr>
      </w:pPr>
      <w:r w:rsidRPr="00DA3A1B">
        <w:rPr>
          <w:rFonts w:cstheme="minorHAnsi"/>
        </w:rPr>
        <w:t>Venkatesan, ‘Learning to Weave’.</w:t>
      </w:r>
    </w:p>
    <w:p w14:paraId="72E9F7F6" w14:textId="77777777" w:rsidR="001D426F" w:rsidRPr="00DA3A1B" w:rsidRDefault="001D426F">
      <w:pPr>
        <w:pStyle w:val="EndnoteText"/>
        <w:rPr>
          <w:rFonts w:cstheme="minorHAnsi"/>
        </w:rPr>
      </w:pPr>
    </w:p>
  </w:endnote>
  <w:endnote w:id="15">
    <w:p w14:paraId="14DA7D13" w14:textId="3B00F27E" w:rsidR="001D426F" w:rsidRPr="00B25013" w:rsidRDefault="001D426F" w:rsidP="000529EA">
      <w:pPr>
        <w:pStyle w:val="EndnoteText"/>
        <w:rPr>
          <w:rFonts w:cstheme="minorHAnsi"/>
          <w:bCs/>
          <w:lang w:val="en-US"/>
        </w:rPr>
      </w:pPr>
      <w:r w:rsidRPr="00B25013">
        <w:rPr>
          <w:rStyle w:val="EndnoteReference"/>
          <w:rFonts w:cstheme="minorHAnsi"/>
        </w:rPr>
        <w:endnoteRef/>
      </w:r>
      <w:r w:rsidRPr="00B25013">
        <w:rPr>
          <w:rFonts w:cstheme="minorHAnsi"/>
        </w:rPr>
        <w:t xml:space="preserve"> </w:t>
      </w:r>
      <w:r w:rsidR="00B25013" w:rsidRPr="00B25013">
        <w:rPr>
          <w:rFonts w:cstheme="minorHAnsi"/>
          <w:bCs/>
          <w:lang w:val="en-US"/>
        </w:rPr>
        <w:t xml:space="preserve">Alanna </w:t>
      </w:r>
      <w:r w:rsidR="00B25013" w:rsidRPr="00B25013">
        <w:rPr>
          <w:rFonts w:cstheme="minorHAnsi"/>
          <w:bCs/>
          <w:lang w:val="en-US"/>
        </w:rPr>
        <w:t xml:space="preserve">Cant, ‘‘Making’ </w:t>
      </w:r>
      <w:r w:rsidR="004673D9">
        <w:rPr>
          <w:rFonts w:cstheme="minorHAnsi"/>
          <w:bCs/>
          <w:lang w:val="en-US"/>
        </w:rPr>
        <w:t>L</w:t>
      </w:r>
      <w:r w:rsidR="00B25013" w:rsidRPr="00B25013">
        <w:rPr>
          <w:rFonts w:cstheme="minorHAnsi"/>
          <w:bCs/>
          <w:lang w:val="en-US"/>
        </w:rPr>
        <w:t xml:space="preserve">abour in Mexican </w:t>
      </w:r>
      <w:r w:rsidR="004673D9">
        <w:rPr>
          <w:rFonts w:cstheme="minorHAnsi"/>
          <w:bCs/>
          <w:lang w:val="en-US"/>
        </w:rPr>
        <w:t>A</w:t>
      </w:r>
      <w:r w:rsidR="00B25013" w:rsidRPr="00B25013">
        <w:rPr>
          <w:rFonts w:cstheme="minorHAnsi"/>
          <w:bCs/>
          <w:lang w:val="en-US"/>
        </w:rPr>
        <w:t xml:space="preserve">rtisanal </w:t>
      </w:r>
      <w:r w:rsidR="004673D9">
        <w:rPr>
          <w:rFonts w:cstheme="minorHAnsi"/>
          <w:bCs/>
          <w:lang w:val="en-US"/>
        </w:rPr>
        <w:t>W</w:t>
      </w:r>
      <w:r w:rsidR="00B25013" w:rsidRPr="00B25013">
        <w:rPr>
          <w:rFonts w:cstheme="minorHAnsi"/>
          <w:bCs/>
          <w:lang w:val="en-US"/>
        </w:rPr>
        <w:t>orkshops,’</w:t>
      </w:r>
      <w:r w:rsidR="00B25013">
        <w:rPr>
          <w:rFonts w:cstheme="minorHAnsi"/>
          <w:bCs/>
          <w:lang w:val="en-US"/>
        </w:rPr>
        <w:t xml:space="preserve"> </w:t>
      </w:r>
      <w:r w:rsidR="00B25013">
        <w:rPr>
          <w:rFonts w:cstheme="minorHAnsi"/>
          <w:bCs/>
          <w:i/>
          <w:iCs/>
          <w:lang w:val="en-US"/>
        </w:rPr>
        <w:t xml:space="preserve">Journal of the Royal Anthropological Institute </w:t>
      </w:r>
      <w:r w:rsidR="00B25013">
        <w:rPr>
          <w:rFonts w:cstheme="minorHAnsi"/>
          <w:bCs/>
          <w:lang w:val="en-US"/>
        </w:rPr>
        <w:t>Vol 24, No S1 (2018).</w:t>
      </w:r>
    </w:p>
    <w:p w14:paraId="1CFCFA2D" w14:textId="77777777" w:rsidR="001D426F" w:rsidRPr="00DA3A1B" w:rsidRDefault="001D426F">
      <w:pPr>
        <w:pStyle w:val="EndnoteText"/>
        <w:rPr>
          <w:rFonts w:cstheme="minorHAnsi"/>
          <w:lang w:val="en-US"/>
        </w:rPr>
      </w:pPr>
    </w:p>
    <w:p w14:paraId="301653A2" w14:textId="77777777" w:rsidR="001D426F" w:rsidRPr="00DA3A1B" w:rsidRDefault="001D426F" w:rsidP="000529EA">
      <w:pPr>
        <w:pStyle w:val="EndnoteText"/>
        <w:rPr>
          <w:rFonts w:cstheme="minorHAnsi"/>
        </w:rPr>
      </w:pPr>
      <w:r w:rsidRPr="00DA3A1B">
        <w:rPr>
          <w:rFonts w:cstheme="minorHAnsi"/>
          <w:lang w:val="en-US"/>
        </w:rPr>
        <w:t xml:space="preserve">Roy Dilley, ‘The Visibility and Invisibility of Production among Senegalese Craftsmen,’ </w:t>
      </w:r>
      <w:r w:rsidRPr="00DA3A1B">
        <w:rPr>
          <w:rFonts w:cstheme="minorHAnsi"/>
          <w:i/>
          <w:lang w:val="en-US"/>
        </w:rPr>
        <w:t>Journal of the Royal Anthropological Institute</w:t>
      </w:r>
      <w:r w:rsidRPr="00DA3A1B">
        <w:rPr>
          <w:rFonts w:cstheme="minorHAnsi"/>
          <w:lang w:val="en-US"/>
        </w:rPr>
        <w:t xml:space="preserve"> Vol 10, No 4 (2004). </w:t>
      </w:r>
    </w:p>
    <w:p w14:paraId="63934C09" w14:textId="77777777" w:rsidR="001D426F" w:rsidRPr="00DA3A1B" w:rsidRDefault="001D426F" w:rsidP="000529EA">
      <w:pPr>
        <w:pStyle w:val="EndnoteText"/>
        <w:rPr>
          <w:rFonts w:cstheme="minorHAnsi"/>
        </w:rPr>
      </w:pPr>
    </w:p>
    <w:p w14:paraId="24D8DB79" w14:textId="77777777" w:rsidR="001D426F" w:rsidRPr="00DA3A1B" w:rsidRDefault="001D426F" w:rsidP="000529EA">
      <w:pPr>
        <w:pStyle w:val="EndnoteText"/>
        <w:rPr>
          <w:rFonts w:cstheme="minorHAnsi"/>
        </w:rPr>
      </w:pPr>
      <w:r w:rsidRPr="00DA3A1B">
        <w:rPr>
          <w:rFonts w:cstheme="minorHAnsi"/>
        </w:rPr>
        <w:t xml:space="preserve">Michael Herzfeld, </w:t>
      </w:r>
      <w:r w:rsidRPr="00DA3A1B">
        <w:rPr>
          <w:rFonts w:cstheme="minorHAnsi"/>
          <w:i/>
        </w:rPr>
        <w:t>The Body Impolitic: Artisans and Artifice in the Global Hierarchy of Value</w:t>
      </w:r>
      <w:r w:rsidRPr="00DA3A1B">
        <w:rPr>
          <w:rFonts w:cstheme="minorHAnsi"/>
        </w:rPr>
        <w:t xml:space="preserve"> (Chicago: University of Chicago Press, 2004).</w:t>
      </w:r>
    </w:p>
    <w:p w14:paraId="2E688182" w14:textId="77777777" w:rsidR="001D426F" w:rsidRPr="00DA3A1B" w:rsidRDefault="001D426F">
      <w:pPr>
        <w:pStyle w:val="EndnoteText"/>
        <w:rPr>
          <w:rFonts w:cstheme="minorHAnsi"/>
        </w:rPr>
      </w:pPr>
    </w:p>
    <w:p w14:paraId="7A3D15D0" w14:textId="77777777" w:rsidR="001D426F" w:rsidRPr="00DA3A1B" w:rsidRDefault="001D426F">
      <w:pPr>
        <w:pStyle w:val="EndnoteText"/>
        <w:rPr>
          <w:rFonts w:cstheme="minorHAnsi"/>
        </w:rPr>
      </w:pPr>
      <w:r w:rsidRPr="00DA3A1B">
        <w:rPr>
          <w:rFonts w:cstheme="minorHAnsi"/>
        </w:rPr>
        <w:t xml:space="preserve">Tim Ingold, ‘Materials Against Materiality,’ </w:t>
      </w:r>
      <w:r w:rsidRPr="00DA3A1B">
        <w:rPr>
          <w:rFonts w:cstheme="minorHAnsi"/>
          <w:i/>
        </w:rPr>
        <w:t xml:space="preserve">Archaeological Dialogues </w:t>
      </w:r>
      <w:r w:rsidRPr="00DA3A1B">
        <w:rPr>
          <w:rFonts w:cstheme="minorHAnsi"/>
        </w:rPr>
        <w:t>Vol 14, No 1 (2007).</w:t>
      </w:r>
    </w:p>
    <w:p w14:paraId="147AD89B" w14:textId="77777777" w:rsidR="001D426F" w:rsidRPr="00DA3A1B" w:rsidRDefault="001D426F">
      <w:pPr>
        <w:pStyle w:val="EndnoteText"/>
        <w:rPr>
          <w:rFonts w:cstheme="minorHAnsi"/>
        </w:rPr>
      </w:pPr>
    </w:p>
    <w:p w14:paraId="47D47884" w14:textId="77777777" w:rsidR="001D426F" w:rsidRPr="00DA3A1B" w:rsidRDefault="001D426F">
      <w:pPr>
        <w:pStyle w:val="EndnoteText"/>
        <w:rPr>
          <w:rFonts w:cstheme="minorHAnsi"/>
        </w:rPr>
      </w:pPr>
      <w:r w:rsidRPr="00DA3A1B">
        <w:rPr>
          <w:rFonts w:cstheme="minorHAnsi"/>
        </w:rPr>
        <w:t xml:space="preserve">Mira Mohsini, ‘Crafting Muslim Artisans: Agency and Exclusion in India’s Urban Crafts Communities’ in </w:t>
      </w:r>
      <w:r w:rsidRPr="00DA3A1B">
        <w:rPr>
          <w:rFonts w:cstheme="minorHAnsi"/>
          <w:i/>
        </w:rPr>
        <w:t>Critical Craft: Technology, Globalization and Capitalism</w:t>
      </w:r>
      <w:r w:rsidRPr="00DA3A1B">
        <w:rPr>
          <w:rFonts w:cstheme="minorHAnsi"/>
        </w:rPr>
        <w:t xml:space="preserve">, eds. Clare Wilkinson-Weber and Alicia Ory DeNicola. (London: Bloomsbury, 2016), 239-258. </w:t>
      </w:r>
    </w:p>
    <w:p w14:paraId="3D20415C" w14:textId="77777777" w:rsidR="001D426F" w:rsidRPr="00DA3A1B" w:rsidRDefault="001D426F">
      <w:pPr>
        <w:pStyle w:val="EndnoteText"/>
        <w:rPr>
          <w:rFonts w:cstheme="minorHAnsi"/>
        </w:rPr>
      </w:pPr>
    </w:p>
  </w:endnote>
  <w:endnote w:id="16">
    <w:p w14:paraId="1978455C" w14:textId="02477625" w:rsidR="001D426F" w:rsidRPr="00DA3A1B" w:rsidRDefault="001D426F">
      <w:pPr>
        <w:pStyle w:val="EndnoteText"/>
        <w:rPr>
          <w:rFonts w:cstheme="minorHAnsi"/>
          <w:b/>
          <w:u w:val="single"/>
        </w:rPr>
      </w:pPr>
      <w:r w:rsidRPr="00DA3A1B">
        <w:rPr>
          <w:rStyle w:val="EndnoteReference"/>
          <w:rFonts w:cstheme="minorHAnsi"/>
        </w:rPr>
        <w:endnoteRef/>
      </w:r>
      <w:r w:rsidRPr="00DA3A1B">
        <w:rPr>
          <w:rFonts w:cstheme="minorHAnsi"/>
        </w:rPr>
        <w:t xml:space="preserve"> For a further critique of the “making” approach, </w:t>
      </w:r>
      <w:r w:rsidRPr="004673D9">
        <w:rPr>
          <w:rFonts w:cstheme="minorHAnsi"/>
        </w:rPr>
        <w:t xml:space="preserve">see </w:t>
      </w:r>
      <w:r w:rsidR="004673D9" w:rsidRPr="004673D9">
        <w:rPr>
          <w:rFonts w:cstheme="minorHAnsi"/>
        </w:rPr>
        <w:t xml:space="preserve">Cant, </w:t>
      </w:r>
      <w:r w:rsidR="004673D9" w:rsidRPr="004673D9">
        <w:rPr>
          <w:rFonts w:cstheme="minorHAnsi"/>
        </w:rPr>
        <w:t>‘”Making” Labour”</w:t>
      </w:r>
      <w:r w:rsidR="004673D9" w:rsidRPr="004673D9">
        <w:rPr>
          <w:rFonts w:cstheme="minorHAnsi"/>
          <w:b/>
        </w:rPr>
        <w:t>.</w:t>
      </w:r>
      <w:r w:rsidRPr="00DA3A1B">
        <w:rPr>
          <w:rFonts w:cstheme="minorHAnsi"/>
          <w:b/>
          <w:u w:val="single"/>
        </w:rPr>
        <w:t xml:space="preserve"> </w:t>
      </w:r>
    </w:p>
    <w:p w14:paraId="36099338" w14:textId="77777777" w:rsidR="001D426F" w:rsidRPr="00DA3A1B" w:rsidRDefault="001D426F">
      <w:pPr>
        <w:pStyle w:val="EndnoteText"/>
        <w:rPr>
          <w:rFonts w:cstheme="minorHAnsi"/>
        </w:rPr>
      </w:pPr>
    </w:p>
  </w:endnote>
  <w:endnote w:id="17">
    <w:p w14:paraId="2861990C" w14:textId="77777777" w:rsidR="001D426F" w:rsidRPr="00DA3A1B" w:rsidRDefault="001D426F">
      <w:pPr>
        <w:pStyle w:val="EndnoteText"/>
        <w:rPr>
          <w:rFonts w:cstheme="minorHAnsi"/>
        </w:rPr>
      </w:pPr>
      <w:r w:rsidRPr="00DA3A1B">
        <w:rPr>
          <w:rStyle w:val="EndnoteReference"/>
          <w:rFonts w:cstheme="minorHAnsi"/>
        </w:rPr>
        <w:endnoteRef/>
      </w:r>
      <w:r w:rsidRPr="00DA3A1B">
        <w:rPr>
          <w:rFonts w:cstheme="minorHAnsi"/>
        </w:rPr>
        <w:t xml:space="preserve"> Sennett, </w:t>
      </w:r>
      <w:r w:rsidRPr="00DA3A1B">
        <w:rPr>
          <w:rFonts w:cstheme="minorHAnsi"/>
          <w:i/>
        </w:rPr>
        <w:t>The Craftsman</w:t>
      </w:r>
      <w:r w:rsidRPr="00DA3A1B">
        <w:rPr>
          <w:rFonts w:cstheme="minorHAnsi"/>
        </w:rPr>
        <w:t>, 268.</w:t>
      </w:r>
    </w:p>
    <w:p w14:paraId="433922B2" w14:textId="77777777" w:rsidR="001D426F" w:rsidRPr="00DA3A1B" w:rsidRDefault="001D426F">
      <w:pPr>
        <w:pStyle w:val="EndnoteText"/>
        <w:rPr>
          <w:rFonts w:cstheme="minorHAnsi"/>
        </w:rPr>
      </w:pPr>
    </w:p>
  </w:endnote>
  <w:endnote w:id="18">
    <w:p w14:paraId="01F4EF7E" w14:textId="77777777" w:rsidR="001D426F" w:rsidRPr="00DA3A1B" w:rsidRDefault="001D426F">
      <w:pPr>
        <w:pStyle w:val="EndnoteText"/>
        <w:rPr>
          <w:rFonts w:cstheme="minorHAnsi"/>
        </w:rPr>
      </w:pPr>
      <w:r w:rsidRPr="00DA3A1B">
        <w:rPr>
          <w:rStyle w:val="EndnoteReference"/>
          <w:rFonts w:cstheme="minorHAnsi"/>
        </w:rPr>
        <w:endnoteRef/>
      </w:r>
      <w:r w:rsidRPr="00DA3A1B">
        <w:rPr>
          <w:rFonts w:cstheme="minorHAnsi"/>
        </w:rPr>
        <w:t xml:space="preserve"> Ibid.</w:t>
      </w:r>
      <w:r w:rsidRPr="00DA3A1B">
        <w:rPr>
          <w:rFonts w:cstheme="minorHAnsi"/>
          <w:i/>
        </w:rPr>
        <w:t>,</w:t>
      </w:r>
      <w:r w:rsidRPr="00DA3A1B">
        <w:rPr>
          <w:rFonts w:cstheme="minorHAnsi"/>
        </w:rPr>
        <w:t xml:space="preserve"> 37.</w:t>
      </w:r>
    </w:p>
    <w:p w14:paraId="2C946CAC" w14:textId="77777777" w:rsidR="001D426F" w:rsidRPr="00DA3A1B" w:rsidRDefault="001D426F">
      <w:pPr>
        <w:pStyle w:val="EndnoteText"/>
        <w:rPr>
          <w:rFonts w:cstheme="minorHAnsi"/>
          <w:i/>
        </w:rPr>
      </w:pPr>
    </w:p>
  </w:endnote>
  <w:endnote w:id="19">
    <w:p w14:paraId="5519C94B" w14:textId="77777777" w:rsidR="001D426F" w:rsidRPr="00DA3A1B" w:rsidRDefault="001D426F">
      <w:pPr>
        <w:pStyle w:val="EndnoteText"/>
        <w:rPr>
          <w:rFonts w:cstheme="minorHAnsi"/>
        </w:rPr>
      </w:pPr>
      <w:r w:rsidRPr="00DA3A1B">
        <w:rPr>
          <w:rStyle w:val="EndnoteReference"/>
          <w:rFonts w:cstheme="minorHAnsi"/>
        </w:rPr>
        <w:endnoteRef/>
      </w:r>
      <w:r w:rsidRPr="00DA3A1B">
        <w:rPr>
          <w:rFonts w:cstheme="minorHAnsi"/>
        </w:rPr>
        <w:t xml:space="preserve"> Andrew Cox, ‘What are Communities of Practice? A comparative review of four seminal works,’ </w:t>
      </w:r>
      <w:r w:rsidRPr="00DA3A1B">
        <w:rPr>
          <w:rFonts w:cstheme="minorHAnsi"/>
          <w:i/>
        </w:rPr>
        <w:t>Journal of Information Science</w:t>
      </w:r>
      <w:r w:rsidRPr="00DA3A1B">
        <w:rPr>
          <w:rFonts w:cstheme="minorHAnsi"/>
        </w:rPr>
        <w:t>, Vol 31, No 6 (2005).</w:t>
      </w:r>
    </w:p>
    <w:p w14:paraId="594C25AD" w14:textId="77777777" w:rsidR="001D426F" w:rsidRPr="00DA3A1B" w:rsidRDefault="001D426F">
      <w:pPr>
        <w:pStyle w:val="EndnoteText"/>
        <w:rPr>
          <w:rFonts w:cstheme="minorHAnsi"/>
        </w:rPr>
      </w:pPr>
    </w:p>
  </w:endnote>
  <w:endnote w:id="20">
    <w:p w14:paraId="594E391C" w14:textId="77777777" w:rsidR="001D426F" w:rsidRPr="00DA3A1B" w:rsidRDefault="001D426F" w:rsidP="0003401B">
      <w:pPr>
        <w:contextualSpacing/>
        <w:rPr>
          <w:rFonts w:cstheme="minorHAnsi"/>
          <w:sz w:val="20"/>
          <w:szCs w:val="20"/>
        </w:rPr>
      </w:pPr>
      <w:r w:rsidRPr="00DA3A1B">
        <w:rPr>
          <w:rStyle w:val="EndnoteReference"/>
          <w:rFonts w:cstheme="minorHAnsi"/>
          <w:sz w:val="20"/>
          <w:szCs w:val="20"/>
        </w:rPr>
        <w:endnoteRef/>
      </w:r>
      <w:r w:rsidRPr="00DA3A1B">
        <w:rPr>
          <w:rFonts w:cstheme="minorHAnsi"/>
          <w:sz w:val="20"/>
          <w:szCs w:val="20"/>
        </w:rPr>
        <w:t xml:space="preserve"> Rebecca Schneider, ‘Science Teacher Educators as a Community of Practice’</w:t>
      </w:r>
      <w:r w:rsidRPr="00DA3A1B">
        <w:rPr>
          <w:rFonts w:cstheme="minorHAnsi"/>
          <w:i/>
          <w:sz w:val="20"/>
          <w:szCs w:val="20"/>
        </w:rPr>
        <w:t>, Journal of Science Teacher Education</w:t>
      </w:r>
      <w:r w:rsidRPr="00DA3A1B">
        <w:rPr>
          <w:rFonts w:cstheme="minorHAnsi"/>
          <w:sz w:val="20"/>
          <w:szCs w:val="20"/>
        </w:rPr>
        <w:t xml:space="preserve"> Vol. 18, No. 5 (2007). </w:t>
      </w:r>
    </w:p>
    <w:p w14:paraId="28F1CA27" w14:textId="77777777" w:rsidR="001D426F" w:rsidRPr="00DA3A1B" w:rsidRDefault="001D426F" w:rsidP="0003401B">
      <w:pPr>
        <w:contextualSpacing/>
        <w:rPr>
          <w:rFonts w:cstheme="minorHAnsi"/>
          <w:sz w:val="20"/>
          <w:szCs w:val="20"/>
        </w:rPr>
      </w:pPr>
    </w:p>
    <w:p w14:paraId="5EE511FB" w14:textId="77777777" w:rsidR="001D426F" w:rsidRPr="00DA3A1B" w:rsidRDefault="001D426F" w:rsidP="0003401B">
      <w:pPr>
        <w:contextualSpacing/>
        <w:rPr>
          <w:rFonts w:cstheme="minorHAnsi"/>
          <w:sz w:val="20"/>
          <w:szCs w:val="20"/>
        </w:rPr>
      </w:pPr>
      <w:r w:rsidRPr="00DA3A1B">
        <w:rPr>
          <w:rFonts w:cstheme="minorHAnsi"/>
          <w:sz w:val="20"/>
          <w:szCs w:val="20"/>
        </w:rPr>
        <w:t xml:space="preserve">Amy Smith, ‘Knowledge By Association: Communities of Practice in Public Management’, </w:t>
      </w:r>
      <w:r w:rsidRPr="00DA3A1B">
        <w:rPr>
          <w:rFonts w:cstheme="minorHAnsi"/>
          <w:i/>
          <w:sz w:val="20"/>
          <w:szCs w:val="20"/>
        </w:rPr>
        <w:t>Public Administration Quarterly</w:t>
      </w:r>
      <w:r w:rsidRPr="00DA3A1B">
        <w:rPr>
          <w:rFonts w:cstheme="minorHAnsi"/>
          <w:sz w:val="20"/>
          <w:szCs w:val="20"/>
        </w:rPr>
        <w:t>, Vol. 40, No. 3 (Fall 2016).</w:t>
      </w:r>
    </w:p>
    <w:p w14:paraId="14EFC5E5" w14:textId="77777777" w:rsidR="001D426F" w:rsidRPr="00DA3A1B" w:rsidRDefault="001D426F" w:rsidP="0003401B">
      <w:pPr>
        <w:contextualSpacing/>
        <w:rPr>
          <w:rFonts w:cstheme="minorHAnsi"/>
          <w:sz w:val="20"/>
          <w:szCs w:val="20"/>
        </w:rPr>
      </w:pPr>
    </w:p>
    <w:p w14:paraId="4D879165" w14:textId="77777777" w:rsidR="001D426F" w:rsidRPr="00DA3A1B" w:rsidRDefault="001D426F" w:rsidP="0003401B">
      <w:pPr>
        <w:contextualSpacing/>
        <w:rPr>
          <w:rFonts w:cstheme="minorHAnsi"/>
          <w:sz w:val="20"/>
          <w:szCs w:val="20"/>
        </w:rPr>
      </w:pPr>
      <w:r w:rsidRPr="00DA3A1B">
        <w:rPr>
          <w:rFonts w:cstheme="minorHAnsi"/>
          <w:sz w:val="20"/>
          <w:szCs w:val="20"/>
        </w:rPr>
        <w:t xml:space="preserve">Mary Bucholtz, ‘"Why Be Normal?": Language and Identity Practices in a Community of Nerd Girls’ </w:t>
      </w:r>
      <w:r w:rsidRPr="00DA3A1B">
        <w:rPr>
          <w:rFonts w:cstheme="minorHAnsi"/>
          <w:i/>
          <w:sz w:val="20"/>
          <w:szCs w:val="20"/>
        </w:rPr>
        <w:t>Language in Society</w:t>
      </w:r>
      <w:r w:rsidRPr="00DA3A1B">
        <w:rPr>
          <w:rFonts w:cstheme="minorHAnsi"/>
          <w:sz w:val="20"/>
          <w:szCs w:val="20"/>
        </w:rPr>
        <w:t>, Vol. 28, No. 2 (June 1999), 203-223.</w:t>
      </w:r>
    </w:p>
    <w:p w14:paraId="64E1BA2A" w14:textId="77777777" w:rsidR="001D426F" w:rsidRPr="00DA3A1B" w:rsidRDefault="001D426F" w:rsidP="0003401B">
      <w:pPr>
        <w:contextualSpacing/>
        <w:rPr>
          <w:rFonts w:cstheme="minorHAnsi"/>
          <w:sz w:val="20"/>
          <w:szCs w:val="20"/>
        </w:rPr>
      </w:pPr>
    </w:p>
  </w:endnote>
  <w:endnote w:id="21">
    <w:p w14:paraId="124D5846" w14:textId="1BDD25B6" w:rsidR="001D426F" w:rsidRPr="00150FB1" w:rsidRDefault="001D426F" w:rsidP="00150FB1">
      <w:pPr>
        <w:contextualSpacing/>
        <w:rPr>
          <w:rFonts w:cstheme="minorHAnsi"/>
          <w:sz w:val="20"/>
          <w:szCs w:val="20"/>
        </w:rPr>
      </w:pPr>
      <w:r w:rsidRPr="00DA3A1B">
        <w:rPr>
          <w:rStyle w:val="EndnoteReference"/>
          <w:rFonts w:cstheme="minorHAnsi"/>
          <w:sz w:val="20"/>
          <w:szCs w:val="20"/>
        </w:rPr>
        <w:endnoteRef/>
      </w:r>
      <w:r w:rsidRPr="00DA3A1B">
        <w:rPr>
          <w:rFonts w:cstheme="minorHAnsi"/>
          <w:sz w:val="20"/>
          <w:szCs w:val="20"/>
        </w:rPr>
        <w:t xml:space="preserve"> Jean Lave and Etienne Wenger, </w:t>
      </w:r>
      <w:r w:rsidRPr="00DA3A1B">
        <w:rPr>
          <w:rFonts w:cstheme="minorHAnsi"/>
          <w:i/>
          <w:sz w:val="20"/>
          <w:szCs w:val="20"/>
        </w:rPr>
        <w:t>Situated Learning: Legitimate Peripheral Participation</w:t>
      </w:r>
      <w:r w:rsidRPr="00DA3A1B">
        <w:rPr>
          <w:rFonts w:cstheme="minorHAnsi"/>
          <w:sz w:val="20"/>
          <w:szCs w:val="20"/>
        </w:rPr>
        <w:t xml:space="preserve"> (Cambridge: Cambridge University Press, 1991).</w:t>
      </w:r>
    </w:p>
  </w:endnote>
  <w:endnote w:id="22">
    <w:p w14:paraId="3C4032A6" w14:textId="77777777" w:rsidR="001D426F" w:rsidRPr="00DA3A1B" w:rsidRDefault="001D426F">
      <w:pPr>
        <w:pStyle w:val="EndnoteText"/>
        <w:rPr>
          <w:rFonts w:cstheme="minorHAnsi"/>
        </w:rPr>
      </w:pPr>
      <w:r w:rsidRPr="00DA3A1B">
        <w:rPr>
          <w:rStyle w:val="EndnoteReference"/>
          <w:rFonts w:cstheme="minorHAnsi"/>
        </w:rPr>
        <w:endnoteRef/>
      </w:r>
      <w:r w:rsidRPr="00DA3A1B">
        <w:rPr>
          <w:rFonts w:cstheme="minorHAnsi"/>
        </w:rPr>
        <w:t xml:space="preserve"> Ibid.</w:t>
      </w:r>
    </w:p>
    <w:p w14:paraId="05E3CD25" w14:textId="77777777" w:rsidR="001D426F" w:rsidRPr="00DA3A1B" w:rsidRDefault="001D426F">
      <w:pPr>
        <w:pStyle w:val="EndnoteText"/>
        <w:rPr>
          <w:rFonts w:cstheme="minorHAnsi"/>
        </w:rPr>
      </w:pPr>
    </w:p>
  </w:endnote>
  <w:endnote w:id="23">
    <w:p w14:paraId="0F41B8D2" w14:textId="77777777" w:rsidR="001D426F" w:rsidRPr="00DA3A1B" w:rsidRDefault="001D426F">
      <w:pPr>
        <w:pStyle w:val="EndnoteText"/>
        <w:rPr>
          <w:rFonts w:cstheme="minorHAnsi"/>
        </w:rPr>
      </w:pPr>
      <w:r w:rsidRPr="00DA3A1B">
        <w:rPr>
          <w:rStyle w:val="EndnoteReference"/>
          <w:rFonts w:cstheme="minorHAnsi"/>
        </w:rPr>
        <w:endnoteRef/>
      </w:r>
      <w:r w:rsidRPr="00DA3A1B">
        <w:rPr>
          <w:rFonts w:cstheme="minorHAnsi"/>
        </w:rPr>
        <w:t xml:space="preserve"> W. Warner Wood, </w:t>
      </w:r>
      <w:r w:rsidRPr="00DA3A1B">
        <w:rPr>
          <w:rFonts w:cstheme="minorHAnsi"/>
          <w:i/>
        </w:rPr>
        <w:t>Made in Mexico: Zapotec weavers and the global ethnic art market</w:t>
      </w:r>
      <w:r w:rsidRPr="00DA3A1B">
        <w:rPr>
          <w:rFonts w:cstheme="minorHAnsi"/>
        </w:rPr>
        <w:t xml:space="preserve"> (Austin: University of Texas Press, 2008), 16-17.</w:t>
      </w:r>
    </w:p>
    <w:p w14:paraId="675C027D" w14:textId="77777777" w:rsidR="001D426F" w:rsidRPr="00DA3A1B" w:rsidRDefault="001D426F">
      <w:pPr>
        <w:pStyle w:val="EndnoteText"/>
        <w:rPr>
          <w:rFonts w:cstheme="minorHAnsi"/>
        </w:rPr>
      </w:pPr>
    </w:p>
    <w:p w14:paraId="4FD86A13" w14:textId="77777777" w:rsidR="001D426F" w:rsidRPr="00DA3A1B" w:rsidRDefault="001D426F">
      <w:pPr>
        <w:pStyle w:val="EndnoteText"/>
        <w:rPr>
          <w:rFonts w:cstheme="minorHAnsi"/>
        </w:rPr>
      </w:pPr>
      <w:r w:rsidRPr="00DA3A1B">
        <w:rPr>
          <w:rFonts w:cstheme="minorHAnsi"/>
        </w:rPr>
        <w:t>Wood goes on to argue that the model can be bolstered by drawing on Bourdieu’s work on ‘fields’ of social production, an approach I have found very useful in my own work.</w:t>
      </w:r>
    </w:p>
    <w:p w14:paraId="3C6A2DA0" w14:textId="77777777" w:rsidR="001D426F" w:rsidRPr="00DA3A1B" w:rsidRDefault="001D426F">
      <w:pPr>
        <w:pStyle w:val="EndnoteText"/>
        <w:rPr>
          <w:rFonts w:cstheme="minorHAnsi"/>
        </w:rPr>
      </w:pPr>
    </w:p>
  </w:endnote>
  <w:endnote w:id="24">
    <w:p w14:paraId="50651AFB" w14:textId="77777777" w:rsidR="001D426F" w:rsidRPr="00DA3A1B" w:rsidRDefault="001D426F" w:rsidP="007E70C5">
      <w:pPr>
        <w:pStyle w:val="EndnoteText"/>
        <w:rPr>
          <w:rFonts w:cstheme="minorHAnsi"/>
        </w:rPr>
      </w:pPr>
      <w:r w:rsidRPr="00DA3A1B">
        <w:rPr>
          <w:rStyle w:val="EndnoteReference"/>
          <w:rFonts w:cstheme="minorHAnsi"/>
        </w:rPr>
        <w:endnoteRef/>
      </w:r>
      <w:r w:rsidRPr="00DA3A1B">
        <w:rPr>
          <w:rFonts w:cstheme="minorHAnsi"/>
        </w:rPr>
        <w:t xml:space="preserve"> For an interesting example of this, see Dawn Nafus and Richard Beckwith, “Number in Craft: Situated Numbering Practices in Do-It-Yourself Sensor Systems,” in </w:t>
      </w:r>
      <w:r w:rsidRPr="00DA3A1B">
        <w:rPr>
          <w:rFonts w:cstheme="minorHAnsi"/>
          <w:i/>
        </w:rPr>
        <w:t>Critical Craft: Technology, Globalization and Capitalism</w:t>
      </w:r>
      <w:r w:rsidRPr="00DA3A1B">
        <w:rPr>
          <w:rFonts w:cstheme="minorHAnsi"/>
        </w:rPr>
        <w:t>, eds. Clare Wilkinson-Weber and Alicia Ory DeNicola. (London: Bloomsbury, 2016), 115-134.</w:t>
      </w:r>
    </w:p>
    <w:p w14:paraId="51C8F071" w14:textId="77777777" w:rsidR="001D426F" w:rsidRPr="00DA3A1B" w:rsidRDefault="001D426F">
      <w:pPr>
        <w:pStyle w:val="EndnoteText"/>
        <w:rPr>
          <w:rFonts w:cstheme="minorHAnsi"/>
        </w:rPr>
      </w:pPr>
    </w:p>
  </w:endnote>
  <w:endnote w:id="25">
    <w:p w14:paraId="24BCF00D" w14:textId="77777777" w:rsidR="001D426F" w:rsidRPr="00DA3A1B" w:rsidRDefault="001D426F">
      <w:pPr>
        <w:pStyle w:val="EndnoteText"/>
        <w:rPr>
          <w:rFonts w:cstheme="minorHAnsi"/>
        </w:rPr>
      </w:pPr>
      <w:r w:rsidRPr="00DA3A1B">
        <w:rPr>
          <w:rStyle w:val="EndnoteReference"/>
          <w:rFonts w:cstheme="minorHAnsi"/>
        </w:rPr>
        <w:endnoteRef/>
      </w:r>
      <w:r w:rsidRPr="00DA3A1B">
        <w:rPr>
          <w:rFonts w:cstheme="minorHAnsi"/>
        </w:rPr>
        <w:t xml:space="preserve"> Michael Chibnik, </w:t>
      </w:r>
      <w:r w:rsidRPr="00DA3A1B">
        <w:rPr>
          <w:rFonts w:cstheme="minorHAnsi"/>
          <w:i/>
        </w:rPr>
        <w:t xml:space="preserve">Crafting Tradition: The making and marketing of Oaxacan wood carvings. </w:t>
      </w:r>
      <w:r w:rsidRPr="00DA3A1B">
        <w:rPr>
          <w:rFonts w:cstheme="minorHAnsi"/>
        </w:rPr>
        <w:t>(Austin: University of Texas Press, 2003).</w:t>
      </w:r>
    </w:p>
    <w:p w14:paraId="7F51E3C2" w14:textId="77777777" w:rsidR="001D426F" w:rsidRPr="00DA3A1B" w:rsidRDefault="001D426F">
      <w:pPr>
        <w:pStyle w:val="EndnoteText"/>
        <w:rPr>
          <w:rFonts w:cstheme="minorHAnsi"/>
        </w:rPr>
      </w:pPr>
    </w:p>
  </w:endnote>
  <w:endnote w:id="26">
    <w:p w14:paraId="039B7CCC" w14:textId="0A981F4E" w:rsidR="001D426F" w:rsidRPr="00FD3D4D" w:rsidRDefault="001D426F" w:rsidP="005C2AFD">
      <w:pPr>
        <w:pStyle w:val="EndnoteText"/>
        <w:rPr>
          <w:rFonts w:cstheme="minorHAnsi"/>
          <w:bCs/>
        </w:rPr>
      </w:pPr>
      <w:r w:rsidRPr="00DA3A1B">
        <w:rPr>
          <w:rStyle w:val="EndnoteReference"/>
          <w:rFonts w:cstheme="minorHAnsi"/>
        </w:rPr>
        <w:endnoteRef/>
      </w:r>
      <w:r w:rsidRPr="00DA3A1B">
        <w:rPr>
          <w:rFonts w:cstheme="minorHAnsi"/>
        </w:rPr>
        <w:t xml:space="preserve"> </w:t>
      </w:r>
      <w:r w:rsidR="00FD3D4D">
        <w:rPr>
          <w:rFonts w:cstheme="minorHAnsi"/>
          <w:bCs/>
        </w:rPr>
        <w:t xml:space="preserve">Alanna Cant, </w:t>
      </w:r>
      <w:r w:rsidR="00FD3D4D">
        <w:rPr>
          <w:rFonts w:cstheme="minorHAnsi"/>
          <w:bCs/>
          <w:i/>
          <w:iCs/>
        </w:rPr>
        <w:t xml:space="preserve">The Value of Aesthetics: Oaxacan woodcarvers in global economies of culture. </w:t>
      </w:r>
      <w:r w:rsidR="00FD3D4D">
        <w:rPr>
          <w:rFonts w:cstheme="minorHAnsi"/>
          <w:bCs/>
        </w:rPr>
        <w:t>(Austin: University of Texas Press, 2019).</w:t>
      </w:r>
    </w:p>
    <w:p w14:paraId="7F0F4033" w14:textId="77777777" w:rsidR="001D426F" w:rsidRPr="00DA3A1B" w:rsidRDefault="001D426F">
      <w:pPr>
        <w:pStyle w:val="EndnoteText"/>
        <w:rPr>
          <w:rFonts w:cstheme="minorHAnsi"/>
        </w:rPr>
      </w:pPr>
    </w:p>
  </w:endnote>
  <w:endnote w:id="27">
    <w:p w14:paraId="071ED72C" w14:textId="77777777" w:rsidR="001D426F" w:rsidRDefault="001D426F">
      <w:pPr>
        <w:pStyle w:val="EndnoteText"/>
        <w:rPr>
          <w:rFonts w:cstheme="minorHAnsi"/>
        </w:rPr>
      </w:pPr>
      <w:r w:rsidRPr="00DA3A1B">
        <w:rPr>
          <w:rStyle w:val="EndnoteReference"/>
          <w:rFonts w:cstheme="minorHAnsi"/>
        </w:rPr>
        <w:endnoteRef/>
      </w:r>
      <w:r w:rsidRPr="00DA3A1B">
        <w:rPr>
          <w:rFonts w:cstheme="minorHAnsi"/>
        </w:rPr>
        <w:t xml:space="preserve"> Ibid.</w:t>
      </w:r>
    </w:p>
    <w:p w14:paraId="4531632A" w14:textId="77777777" w:rsidR="001D426F" w:rsidRPr="00DA3A1B" w:rsidRDefault="001D426F">
      <w:pPr>
        <w:pStyle w:val="EndnoteText"/>
        <w:rPr>
          <w:rFonts w:cstheme="minorHAnsi"/>
        </w:rPr>
      </w:pPr>
    </w:p>
  </w:endnote>
  <w:endnote w:id="28">
    <w:p w14:paraId="12B6143C" w14:textId="77777777" w:rsidR="001D426F" w:rsidRPr="00DA3A1B" w:rsidRDefault="001D426F">
      <w:pPr>
        <w:pStyle w:val="EndnoteText"/>
        <w:rPr>
          <w:rFonts w:cstheme="minorHAnsi"/>
        </w:rPr>
      </w:pPr>
      <w:r w:rsidRPr="00DA3A1B">
        <w:rPr>
          <w:rStyle w:val="EndnoteReference"/>
          <w:rFonts w:cstheme="minorHAnsi"/>
        </w:rPr>
        <w:endnoteRef/>
      </w:r>
      <w:r w:rsidRPr="00DA3A1B">
        <w:rPr>
          <w:rFonts w:cstheme="minorHAnsi"/>
        </w:rPr>
        <w:t xml:space="preserve"> Figure based on a survey conducted March to April 2008.</w:t>
      </w:r>
    </w:p>
    <w:p w14:paraId="6E32EA55" w14:textId="77777777" w:rsidR="001D426F" w:rsidRPr="00DA3A1B" w:rsidRDefault="001D426F">
      <w:pPr>
        <w:pStyle w:val="EndnoteText"/>
        <w:rPr>
          <w:rFonts w:cstheme="minorHAnsi"/>
        </w:rPr>
      </w:pPr>
    </w:p>
  </w:endnote>
  <w:endnote w:id="29">
    <w:p w14:paraId="3254A2FC" w14:textId="77777777" w:rsidR="001D426F" w:rsidRPr="00DA3A1B" w:rsidRDefault="001D426F">
      <w:pPr>
        <w:pStyle w:val="EndnoteText"/>
        <w:rPr>
          <w:rFonts w:cstheme="minorHAnsi"/>
        </w:rPr>
      </w:pPr>
      <w:r w:rsidRPr="00DA3A1B">
        <w:rPr>
          <w:rStyle w:val="EndnoteReference"/>
          <w:rFonts w:cstheme="minorHAnsi"/>
        </w:rPr>
        <w:endnoteRef/>
      </w:r>
      <w:r w:rsidRPr="00DA3A1B">
        <w:rPr>
          <w:rFonts w:cstheme="minorHAnsi"/>
        </w:rPr>
        <w:t xml:space="preserve"> Jeffrey Cohen, </w:t>
      </w:r>
      <w:r w:rsidRPr="00DA3A1B">
        <w:rPr>
          <w:rFonts w:cstheme="minorHAnsi"/>
          <w:i/>
        </w:rPr>
        <w:t>The Culture of Migration in Southern Mexico</w:t>
      </w:r>
      <w:r w:rsidRPr="00DA3A1B">
        <w:rPr>
          <w:rFonts w:cstheme="minorHAnsi"/>
        </w:rPr>
        <w:t xml:space="preserve"> (Austin: University of Texas Press, 2004). </w:t>
      </w:r>
    </w:p>
    <w:p w14:paraId="73FD6ACC" w14:textId="77777777" w:rsidR="001D426F" w:rsidRPr="00DA3A1B" w:rsidRDefault="001D426F">
      <w:pPr>
        <w:pStyle w:val="EndnoteText"/>
        <w:rPr>
          <w:rFonts w:cstheme="minorHAnsi"/>
        </w:rPr>
      </w:pPr>
    </w:p>
    <w:p w14:paraId="5BF6F85D" w14:textId="77777777" w:rsidR="001D426F" w:rsidRPr="00DA3A1B" w:rsidRDefault="001D426F">
      <w:pPr>
        <w:pStyle w:val="EndnoteText"/>
        <w:rPr>
          <w:rFonts w:cstheme="minorHAnsi"/>
        </w:rPr>
      </w:pPr>
      <w:r w:rsidRPr="00DA3A1B">
        <w:rPr>
          <w:rFonts w:cstheme="minorHAnsi"/>
        </w:rPr>
        <w:t xml:space="preserve">Serena Eréndira Serrano Oswald, “Migration, Gender and Woodcarving in San Martín Tilcajete,” in </w:t>
      </w:r>
      <w:r w:rsidRPr="00DA3A1B">
        <w:rPr>
          <w:rFonts w:cstheme="minorHAnsi"/>
          <w:i/>
        </w:rPr>
        <w:t>Migration, Gender and Social Justice: Perspectives on human insecurity</w:t>
      </w:r>
      <w:r w:rsidRPr="00DA3A1B">
        <w:rPr>
          <w:rFonts w:cstheme="minorHAnsi"/>
        </w:rPr>
        <w:t>, eds. Thanh-Dam Truong, Des Gasper, Jeff Handmaker and Sylvia I. Bergh (Heidelberg, New York and London: Springer, 2014), 177-192.</w:t>
      </w:r>
    </w:p>
    <w:p w14:paraId="2CA2E320" w14:textId="77777777" w:rsidR="001D426F" w:rsidRPr="00DA3A1B" w:rsidRDefault="001D426F">
      <w:pPr>
        <w:pStyle w:val="EndnoteText"/>
        <w:rPr>
          <w:rFonts w:cstheme="minorHAnsi"/>
        </w:rPr>
      </w:pPr>
    </w:p>
  </w:endnote>
  <w:endnote w:id="30">
    <w:p w14:paraId="5CB54471" w14:textId="29F28621" w:rsidR="00C95BA2" w:rsidRDefault="00C95BA2">
      <w:pPr>
        <w:pStyle w:val="EndnoteText"/>
      </w:pPr>
      <w:r>
        <w:rPr>
          <w:rStyle w:val="EndnoteReference"/>
        </w:rPr>
        <w:endnoteRef/>
      </w:r>
      <w:r>
        <w:t xml:space="preserve"> All personal names are pseudonyms.</w:t>
      </w:r>
    </w:p>
    <w:p w14:paraId="5810739B" w14:textId="77777777" w:rsidR="00C95BA2" w:rsidRDefault="00C95BA2">
      <w:pPr>
        <w:pStyle w:val="EndnoteText"/>
      </w:pPr>
    </w:p>
  </w:endnote>
  <w:endnote w:id="31">
    <w:p w14:paraId="7FF00635" w14:textId="71142050" w:rsidR="001D426F" w:rsidRPr="00FD3D4D" w:rsidRDefault="001D426F">
      <w:pPr>
        <w:pStyle w:val="EndnoteText"/>
        <w:rPr>
          <w:rFonts w:cstheme="minorHAnsi"/>
        </w:rPr>
      </w:pPr>
      <w:r w:rsidRPr="00484651">
        <w:rPr>
          <w:rStyle w:val="EndnoteReference"/>
          <w:rFonts w:cstheme="minorHAnsi"/>
        </w:rPr>
        <w:endnoteRef/>
      </w:r>
      <w:r w:rsidRPr="00484651">
        <w:rPr>
          <w:rFonts w:cstheme="minorHAnsi"/>
        </w:rPr>
        <w:t xml:space="preserve"> </w:t>
      </w:r>
      <w:r w:rsidR="004E4D6B">
        <w:t xml:space="preserve">Cant, </w:t>
      </w:r>
      <w:r w:rsidR="004E4D6B" w:rsidRPr="00FD3D4D">
        <w:rPr>
          <w:i/>
          <w:iCs/>
        </w:rPr>
        <w:t>The Value of Aesthetics</w:t>
      </w:r>
      <w:r w:rsidR="00484651" w:rsidRPr="00FD3D4D">
        <w:rPr>
          <w:rFonts w:cstheme="minorHAnsi"/>
        </w:rPr>
        <w:t>, 50-67</w:t>
      </w:r>
    </w:p>
    <w:p w14:paraId="362B1950" w14:textId="77777777" w:rsidR="001D426F" w:rsidRPr="00DA3A1B" w:rsidRDefault="001D426F">
      <w:pPr>
        <w:pStyle w:val="EndnoteText"/>
        <w:rPr>
          <w:rFonts w:cstheme="minorHAnsi"/>
        </w:rPr>
      </w:pPr>
    </w:p>
  </w:endnote>
  <w:endnote w:id="32">
    <w:p w14:paraId="2E76E7DB" w14:textId="166D1039" w:rsidR="001D426F" w:rsidRPr="00FD3D4D" w:rsidRDefault="001D426F">
      <w:pPr>
        <w:pStyle w:val="EndnoteText"/>
        <w:rPr>
          <w:rFonts w:cstheme="minorHAnsi"/>
          <w:bCs/>
        </w:rPr>
      </w:pPr>
      <w:r w:rsidRPr="00DA3A1B">
        <w:rPr>
          <w:rStyle w:val="EndnoteReference"/>
          <w:rFonts w:cstheme="minorHAnsi"/>
        </w:rPr>
        <w:endnoteRef/>
      </w:r>
      <w:r w:rsidRPr="00DA3A1B">
        <w:rPr>
          <w:rFonts w:cstheme="minorHAnsi"/>
        </w:rPr>
        <w:t xml:space="preserve"> Ibid. This perspective is </w:t>
      </w:r>
      <w:r>
        <w:rPr>
          <w:rFonts w:cstheme="minorHAnsi"/>
        </w:rPr>
        <w:t>reinforced</w:t>
      </w:r>
      <w:r w:rsidRPr="00DA3A1B">
        <w:rPr>
          <w:rFonts w:cstheme="minorHAnsi"/>
        </w:rPr>
        <w:t xml:space="preserve"> by market</w:t>
      </w:r>
      <w:r>
        <w:rPr>
          <w:rFonts w:cstheme="minorHAnsi"/>
        </w:rPr>
        <w:t>s</w:t>
      </w:r>
      <w:r w:rsidRPr="00DA3A1B">
        <w:rPr>
          <w:rFonts w:cstheme="minorHAnsi"/>
        </w:rPr>
        <w:t xml:space="preserve"> that place value on particular aesthetics and artistic conventions, such as signatures. </w:t>
      </w:r>
      <w:r w:rsidR="00FD3D4D">
        <w:rPr>
          <w:rFonts w:cstheme="minorHAnsi"/>
          <w:bCs/>
        </w:rPr>
        <w:t xml:space="preserve">See Cant, </w:t>
      </w:r>
      <w:r w:rsidR="00FD3D4D">
        <w:rPr>
          <w:rFonts w:cstheme="minorHAnsi"/>
          <w:bCs/>
        </w:rPr>
        <w:t xml:space="preserve">‘”Making” Labour’. </w:t>
      </w:r>
    </w:p>
    <w:p w14:paraId="22A99593" w14:textId="77777777" w:rsidR="001D426F" w:rsidRDefault="001D426F">
      <w:pPr>
        <w:pStyle w:val="EndnoteText"/>
      </w:pPr>
    </w:p>
  </w:endnote>
  <w:endnote w:id="33">
    <w:p w14:paraId="7FA74D0B" w14:textId="77777777" w:rsidR="004E4D6B" w:rsidRDefault="004E4D6B" w:rsidP="004E4D6B">
      <w:pPr>
        <w:pStyle w:val="EndnoteText"/>
        <w:rPr>
          <w:i/>
          <w:iCs/>
        </w:rPr>
      </w:pPr>
      <w:r>
        <w:rPr>
          <w:rStyle w:val="EndnoteReference"/>
        </w:rPr>
        <w:endnoteRef/>
      </w:r>
      <w:r>
        <w:t xml:space="preserve"> See </w:t>
      </w:r>
      <w:r>
        <w:t xml:space="preserve">Chibnik, </w:t>
      </w:r>
      <w:r>
        <w:rPr>
          <w:i/>
          <w:iCs/>
        </w:rPr>
        <w:t>Crafting Tradition</w:t>
      </w:r>
      <w:r>
        <w:t xml:space="preserve"> and Wood, </w:t>
      </w:r>
      <w:r>
        <w:rPr>
          <w:i/>
          <w:iCs/>
        </w:rPr>
        <w:t>Made in Mexico.</w:t>
      </w:r>
    </w:p>
    <w:p w14:paraId="5043AC03" w14:textId="77777777" w:rsidR="004E4D6B" w:rsidRPr="00C50689" w:rsidRDefault="004E4D6B" w:rsidP="004E4D6B">
      <w:pPr>
        <w:pStyle w:val="EndnoteText"/>
        <w:rPr>
          <w:i/>
          <w:iCs/>
        </w:rPr>
      </w:pPr>
    </w:p>
  </w:endnote>
  <w:endnote w:id="34">
    <w:p w14:paraId="4F2AC33C" w14:textId="2BAD7C51" w:rsidR="004E4D6B" w:rsidRDefault="004E4D6B" w:rsidP="004E4D6B">
      <w:pPr>
        <w:pStyle w:val="EndnoteText"/>
      </w:pPr>
      <w:r>
        <w:rPr>
          <w:rStyle w:val="EndnoteReference"/>
        </w:rPr>
        <w:endnoteRef/>
      </w:r>
      <w:r>
        <w:t xml:space="preserve"> Cant, </w:t>
      </w:r>
      <w:r w:rsidRPr="00FD3D4D">
        <w:rPr>
          <w:i/>
          <w:iCs/>
        </w:rPr>
        <w:t>The Value of Aesthetics</w:t>
      </w:r>
      <w:r w:rsidRPr="00484651">
        <w:t xml:space="preserve">, </w:t>
      </w:r>
      <w:r w:rsidR="009E4505">
        <w:t>68-84; 85</w:t>
      </w:r>
      <w:r w:rsidRPr="00484651">
        <w:t>-129.</w:t>
      </w:r>
    </w:p>
    <w:p w14:paraId="3690ADF6" w14:textId="77777777" w:rsidR="004E4D6B" w:rsidRPr="00484651" w:rsidRDefault="004E4D6B" w:rsidP="004E4D6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377663"/>
      <w:docPartObj>
        <w:docPartGallery w:val="Page Numbers (Bottom of Page)"/>
        <w:docPartUnique/>
      </w:docPartObj>
    </w:sdtPr>
    <w:sdtEndPr>
      <w:rPr>
        <w:noProof/>
      </w:rPr>
    </w:sdtEndPr>
    <w:sdtContent>
      <w:p w14:paraId="0D3AEF58" w14:textId="77777777" w:rsidR="001D426F" w:rsidRDefault="001D42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FCAA4F" w14:textId="77777777" w:rsidR="001D426F" w:rsidRDefault="001D4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66F0F" w14:textId="77777777" w:rsidR="006558D1" w:rsidRDefault="006558D1" w:rsidP="006D0E3B">
      <w:pPr>
        <w:spacing w:after="0" w:line="240" w:lineRule="auto"/>
      </w:pPr>
      <w:r>
        <w:separator/>
      </w:r>
    </w:p>
  </w:footnote>
  <w:footnote w:type="continuationSeparator" w:id="0">
    <w:p w14:paraId="775180B0" w14:textId="77777777" w:rsidR="006558D1" w:rsidRDefault="006558D1" w:rsidP="006D0E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2C"/>
    <w:rsid w:val="00000322"/>
    <w:rsid w:val="00033F03"/>
    <w:rsid w:val="0003401B"/>
    <w:rsid w:val="000424A1"/>
    <w:rsid w:val="000460C0"/>
    <w:rsid w:val="000529EA"/>
    <w:rsid w:val="0005473A"/>
    <w:rsid w:val="000557AC"/>
    <w:rsid w:val="00081A38"/>
    <w:rsid w:val="000837E5"/>
    <w:rsid w:val="000A0568"/>
    <w:rsid w:val="000B5A0A"/>
    <w:rsid w:val="000C08AE"/>
    <w:rsid w:val="000C4CD9"/>
    <w:rsid w:val="000D2C28"/>
    <w:rsid w:val="000D7423"/>
    <w:rsid w:val="0011098A"/>
    <w:rsid w:val="00116F5E"/>
    <w:rsid w:val="001414EE"/>
    <w:rsid w:val="00142935"/>
    <w:rsid w:val="00150FB1"/>
    <w:rsid w:val="00154426"/>
    <w:rsid w:val="00167A99"/>
    <w:rsid w:val="001774B2"/>
    <w:rsid w:val="00191D07"/>
    <w:rsid w:val="001969F4"/>
    <w:rsid w:val="001977C1"/>
    <w:rsid w:val="001B142D"/>
    <w:rsid w:val="001C790E"/>
    <w:rsid w:val="001D318E"/>
    <w:rsid w:val="001D426F"/>
    <w:rsid w:val="001E142D"/>
    <w:rsid w:val="001F3CF9"/>
    <w:rsid w:val="00224721"/>
    <w:rsid w:val="002535DE"/>
    <w:rsid w:val="00256231"/>
    <w:rsid w:val="00276DCE"/>
    <w:rsid w:val="0028161C"/>
    <w:rsid w:val="0028687E"/>
    <w:rsid w:val="002972CA"/>
    <w:rsid w:val="002A398A"/>
    <w:rsid w:val="002A639D"/>
    <w:rsid w:val="002A7602"/>
    <w:rsid w:val="002B0A2B"/>
    <w:rsid w:val="002C1B5A"/>
    <w:rsid w:val="002D4810"/>
    <w:rsid w:val="002D7BD9"/>
    <w:rsid w:val="00325111"/>
    <w:rsid w:val="00327AE0"/>
    <w:rsid w:val="00346B8C"/>
    <w:rsid w:val="00347F85"/>
    <w:rsid w:val="00382749"/>
    <w:rsid w:val="00390A30"/>
    <w:rsid w:val="003931D3"/>
    <w:rsid w:val="003B3A59"/>
    <w:rsid w:val="003C196D"/>
    <w:rsid w:val="003E40FD"/>
    <w:rsid w:val="003E50D6"/>
    <w:rsid w:val="003F2C37"/>
    <w:rsid w:val="00413758"/>
    <w:rsid w:val="004673D9"/>
    <w:rsid w:val="004679B2"/>
    <w:rsid w:val="00471484"/>
    <w:rsid w:val="00472032"/>
    <w:rsid w:val="00484651"/>
    <w:rsid w:val="00485CED"/>
    <w:rsid w:val="004B2ED0"/>
    <w:rsid w:val="004E4385"/>
    <w:rsid w:val="004E4D6B"/>
    <w:rsid w:val="004F3195"/>
    <w:rsid w:val="005076B9"/>
    <w:rsid w:val="005261A9"/>
    <w:rsid w:val="00546289"/>
    <w:rsid w:val="0056416A"/>
    <w:rsid w:val="00577F83"/>
    <w:rsid w:val="005856ED"/>
    <w:rsid w:val="005A6F92"/>
    <w:rsid w:val="005C2AFD"/>
    <w:rsid w:val="005D2CC4"/>
    <w:rsid w:val="005F69E4"/>
    <w:rsid w:val="005F6D68"/>
    <w:rsid w:val="00607BE2"/>
    <w:rsid w:val="00616389"/>
    <w:rsid w:val="006236E2"/>
    <w:rsid w:val="006350E0"/>
    <w:rsid w:val="006558D1"/>
    <w:rsid w:val="006647B5"/>
    <w:rsid w:val="00664E4B"/>
    <w:rsid w:val="006828B5"/>
    <w:rsid w:val="00693A3C"/>
    <w:rsid w:val="006A6DDC"/>
    <w:rsid w:val="006B202B"/>
    <w:rsid w:val="006C3606"/>
    <w:rsid w:val="006C364D"/>
    <w:rsid w:val="006D0E3B"/>
    <w:rsid w:val="006D399E"/>
    <w:rsid w:val="006E559B"/>
    <w:rsid w:val="006E7F2D"/>
    <w:rsid w:val="0070777A"/>
    <w:rsid w:val="00712FE7"/>
    <w:rsid w:val="00753C47"/>
    <w:rsid w:val="00780547"/>
    <w:rsid w:val="00792EDD"/>
    <w:rsid w:val="00795639"/>
    <w:rsid w:val="007B34B3"/>
    <w:rsid w:val="007B7A1D"/>
    <w:rsid w:val="007C6CE2"/>
    <w:rsid w:val="007D3019"/>
    <w:rsid w:val="007E70C5"/>
    <w:rsid w:val="00812373"/>
    <w:rsid w:val="00822FD5"/>
    <w:rsid w:val="00850008"/>
    <w:rsid w:val="008527A1"/>
    <w:rsid w:val="008556EA"/>
    <w:rsid w:val="008C6BDC"/>
    <w:rsid w:val="008D7C64"/>
    <w:rsid w:val="008E0B9C"/>
    <w:rsid w:val="008E184B"/>
    <w:rsid w:val="008F5270"/>
    <w:rsid w:val="00913066"/>
    <w:rsid w:val="00927945"/>
    <w:rsid w:val="00937514"/>
    <w:rsid w:val="00946855"/>
    <w:rsid w:val="0096029C"/>
    <w:rsid w:val="00963FD3"/>
    <w:rsid w:val="00984F82"/>
    <w:rsid w:val="009955E3"/>
    <w:rsid w:val="00996E98"/>
    <w:rsid w:val="009A0764"/>
    <w:rsid w:val="009B07AD"/>
    <w:rsid w:val="009C24A6"/>
    <w:rsid w:val="009D43D4"/>
    <w:rsid w:val="009E4505"/>
    <w:rsid w:val="009F0BFA"/>
    <w:rsid w:val="009F1D9F"/>
    <w:rsid w:val="009F5351"/>
    <w:rsid w:val="009F67C9"/>
    <w:rsid w:val="00A0514F"/>
    <w:rsid w:val="00A123E0"/>
    <w:rsid w:val="00A12728"/>
    <w:rsid w:val="00A15F25"/>
    <w:rsid w:val="00A37D58"/>
    <w:rsid w:val="00A447ED"/>
    <w:rsid w:val="00A44957"/>
    <w:rsid w:val="00A46662"/>
    <w:rsid w:val="00A53B2E"/>
    <w:rsid w:val="00A543DD"/>
    <w:rsid w:val="00A6610F"/>
    <w:rsid w:val="00AB01D6"/>
    <w:rsid w:val="00AB6C03"/>
    <w:rsid w:val="00AD0E6C"/>
    <w:rsid w:val="00AD6E09"/>
    <w:rsid w:val="00AF5571"/>
    <w:rsid w:val="00B019AC"/>
    <w:rsid w:val="00B07123"/>
    <w:rsid w:val="00B1262C"/>
    <w:rsid w:val="00B25013"/>
    <w:rsid w:val="00B4245E"/>
    <w:rsid w:val="00B424D1"/>
    <w:rsid w:val="00B611F1"/>
    <w:rsid w:val="00B7475A"/>
    <w:rsid w:val="00B75C22"/>
    <w:rsid w:val="00BB2AD7"/>
    <w:rsid w:val="00BC5D49"/>
    <w:rsid w:val="00BF287D"/>
    <w:rsid w:val="00C10784"/>
    <w:rsid w:val="00C109A5"/>
    <w:rsid w:val="00C11779"/>
    <w:rsid w:val="00C11781"/>
    <w:rsid w:val="00C1578B"/>
    <w:rsid w:val="00C21B19"/>
    <w:rsid w:val="00C31F86"/>
    <w:rsid w:val="00C50689"/>
    <w:rsid w:val="00C6461E"/>
    <w:rsid w:val="00C705A9"/>
    <w:rsid w:val="00C920A3"/>
    <w:rsid w:val="00C95BA2"/>
    <w:rsid w:val="00CB2080"/>
    <w:rsid w:val="00CC1668"/>
    <w:rsid w:val="00CC32A9"/>
    <w:rsid w:val="00CC3CC3"/>
    <w:rsid w:val="00CC7C7E"/>
    <w:rsid w:val="00CE3A74"/>
    <w:rsid w:val="00CE7693"/>
    <w:rsid w:val="00CF0AC1"/>
    <w:rsid w:val="00D041BF"/>
    <w:rsid w:val="00D1194C"/>
    <w:rsid w:val="00D20D10"/>
    <w:rsid w:val="00D21349"/>
    <w:rsid w:val="00D477F4"/>
    <w:rsid w:val="00D61B3A"/>
    <w:rsid w:val="00D8569B"/>
    <w:rsid w:val="00D96567"/>
    <w:rsid w:val="00DA3A1B"/>
    <w:rsid w:val="00DA6015"/>
    <w:rsid w:val="00DB1C54"/>
    <w:rsid w:val="00DB2BCF"/>
    <w:rsid w:val="00DB6E0A"/>
    <w:rsid w:val="00DC2A8A"/>
    <w:rsid w:val="00DD0B61"/>
    <w:rsid w:val="00DD35D9"/>
    <w:rsid w:val="00DD4D20"/>
    <w:rsid w:val="00DE1BA7"/>
    <w:rsid w:val="00E131AD"/>
    <w:rsid w:val="00E364B9"/>
    <w:rsid w:val="00E440C7"/>
    <w:rsid w:val="00E5236B"/>
    <w:rsid w:val="00E6563F"/>
    <w:rsid w:val="00E718F0"/>
    <w:rsid w:val="00E857E9"/>
    <w:rsid w:val="00EA2F74"/>
    <w:rsid w:val="00EA762C"/>
    <w:rsid w:val="00F10A58"/>
    <w:rsid w:val="00F17D95"/>
    <w:rsid w:val="00F3542A"/>
    <w:rsid w:val="00F42E76"/>
    <w:rsid w:val="00F43ED0"/>
    <w:rsid w:val="00F46EBE"/>
    <w:rsid w:val="00F8179C"/>
    <w:rsid w:val="00FA274D"/>
    <w:rsid w:val="00FA3497"/>
    <w:rsid w:val="00FB2722"/>
    <w:rsid w:val="00FB3E3A"/>
    <w:rsid w:val="00FC0FAE"/>
    <w:rsid w:val="00FD3D4D"/>
    <w:rsid w:val="00FE62F2"/>
    <w:rsid w:val="00FE7669"/>
    <w:rsid w:val="00FE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695D"/>
  <w15:chartTrackingRefBased/>
  <w15:docId w15:val="{D6F00579-D425-4480-A7E1-B5E735D4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CC3"/>
    <w:pPr>
      <w:keepNext/>
      <w:keepLines/>
      <w:spacing w:before="240" w:after="0"/>
      <w:outlineLvl w:val="0"/>
    </w:pPr>
    <w:rPr>
      <w:rFonts w:eastAsiaTheme="majorEastAsia" w:cstheme="minorHAnsi"/>
      <w:b/>
      <w:color w:val="000000" w:themeColor="text1"/>
      <w:sz w:val="28"/>
      <w:szCs w:val="28"/>
      <w:lang w:val="en-US"/>
    </w:rPr>
  </w:style>
  <w:style w:type="paragraph" w:styleId="Heading2">
    <w:name w:val="heading 2"/>
    <w:basedOn w:val="Normal"/>
    <w:next w:val="Normal"/>
    <w:link w:val="Heading2Char"/>
    <w:uiPriority w:val="9"/>
    <w:unhideWhenUsed/>
    <w:qFormat/>
    <w:rsid w:val="00CC3CC3"/>
    <w:pPr>
      <w:keepNext/>
      <w:keepLines/>
      <w:spacing w:before="40" w:after="0"/>
      <w:outlineLvl w:val="1"/>
    </w:pPr>
    <w:rPr>
      <w:rFonts w:eastAsiaTheme="majorEastAsia" w:cstheme="minorHAnsi"/>
      <w:b/>
      <w:color w:val="000000" w:themeColor="tex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CC3"/>
    <w:rPr>
      <w:rFonts w:eastAsiaTheme="majorEastAsia" w:cstheme="minorHAnsi"/>
      <w:b/>
      <w:color w:val="000000" w:themeColor="text1"/>
      <w:sz w:val="28"/>
      <w:szCs w:val="28"/>
      <w:lang w:val="en-US"/>
    </w:rPr>
  </w:style>
  <w:style w:type="character" w:customStyle="1" w:styleId="Heading2Char">
    <w:name w:val="Heading 2 Char"/>
    <w:basedOn w:val="DefaultParagraphFont"/>
    <w:link w:val="Heading2"/>
    <w:uiPriority w:val="9"/>
    <w:rsid w:val="00CC3CC3"/>
    <w:rPr>
      <w:rFonts w:eastAsiaTheme="majorEastAsia" w:cstheme="minorHAnsi"/>
      <w:b/>
      <w:color w:val="000000" w:themeColor="text1"/>
      <w:sz w:val="26"/>
      <w:szCs w:val="26"/>
      <w:lang w:val="en-US"/>
    </w:rPr>
  </w:style>
  <w:style w:type="paragraph" w:styleId="FootnoteText">
    <w:name w:val="footnote text"/>
    <w:basedOn w:val="Normal"/>
    <w:link w:val="FootnoteTextChar"/>
    <w:uiPriority w:val="99"/>
    <w:semiHidden/>
    <w:unhideWhenUsed/>
    <w:rsid w:val="006D0E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0E3B"/>
    <w:rPr>
      <w:sz w:val="20"/>
      <w:szCs w:val="20"/>
    </w:rPr>
  </w:style>
  <w:style w:type="character" w:styleId="FootnoteReference">
    <w:name w:val="footnote reference"/>
    <w:basedOn w:val="DefaultParagraphFont"/>
    <w:uiPriority w:val="99"/>
    <w:semiHidden/>
    <w:unhideWhenUsed/>
    <w:rsid w:val="006D0E3B"/>
    <w:rPr>
      <w:vertAlign w:val="superscript"/>
    </w:rPr>
  </w:style>
  <w:style w:type="character" w:styleId="Hyperlink">
    <w:name w:val="Hyperlink"/>
    <w:basedOn w:val="DefaultParagraphFont"/>
    <w:uiPriority w:val="99"/>
    <w:unhideWhenUsed/>
    <w:rsid w:val="000D7423"/>
    <w:rPr>
      <w:color w:val="0000FF"/>
      <w:u w:val="single"/>
    </w:rPr>
  </w:style>
  <w:style w:type="paragraph" w:styleId="EndnoteText">
    <w:name w:val="endnote text"/>
    <w:basedOn w:val="Normal"/>
    <w:link w:val="EndnoteTextChar"/>
    <w:uiPriority w:val="99"/>
    <w:unhideWhenUsed/>
    <w:rsid w:val="00472032"/>
    <w:pPr>
      <w:spacing w:after="0" w:line="240" w:lineRule="auto"/>
    </w:pPr>
    <w:rPr>
      <w:sz w:val="20"/>
      <w:szCs w:val="20"/>
    </w:rPr>
  </w:style>
  <w:style w:type="character" w:customStyle="1" w:styleId="EndnoteTextChar">
    <w:name w:val="Endnote Text Char"/>
    <w:basedOn w:val="DefaultParagraphFont"/>
    <w:link w:val="EndnoteText"/>
    <w:uiPriority w:val="99"/>
    <w:rsid w:val="00472032"/>
    <w:rPr>
      <w:sz w:val="20"/>
      <w:szCs w:val="20"/>
    </w:rPr>
  </w:style>
  <w:style w:type="character" w:styleId="EndnoteReference">
    <w:name w:val="endnote reference"/>
    <w:basedOn w:val="DefaultParagraphFont"/>
    <w:uiPriority w:val="99"/>
    <w:semiHidden/>
    <w:unhideWhenUsed/>
    <w:rsid w:val="00472032"/>
    <w:rPr>
      <w:vertAlign w:val="superscript"/>
    </w:rPr>
  </w:style>
  <w:style w:type="character" w:styleId="HTMLCite">
    <w:name w:val="HTML Cite"/>
    <w:basedOn w:val="DefaultParagraphFont"/>
    <w:uiPriority w:val="99"/>
    <w:semiHidden/>
    <w:unhideWhenUsed/>
    <w:rsid w:val="008E184B"/>
    <w:rPr>
      <w:i/>
      <w:iCs/>
    </w:rPr>
  </w:style>
  <w:style w:type="paragraph" w:styleId="NoSpacing">
    <w:name w:val="No Spacing"/>
    <w:uiPriority w:val="1"/>
    <w:qFormat/>
    <w:rsid w:val="00E857E9"/>
    <w:pPr>
      <w:spacing w:after="0" w:line="240" w:lineRule="auto"/>
    </w:pPr>
    <w:rPr>
      <w:rFonts w:ascii="Times New Roman" w:hAnsi="Times New Roman"/>
      <w:sz w:val="20"/>
      <w:szCs w:val="20"/>
    </w:rPr>
  </w:style>
  <w:style w:type="character" w:styleId="UnresolvedMention">
    <w:name w:val="Unresolved Mention"/>
    <w:basedOn w:val="DefaultParagraphFont"/>
    <w:uiPriority w:val="99"/>
    <w:semiHidden/>
    <w:unhideWhenUsed/>
    <w:rsid w:val="005076B9"/>
    <w:rPr>
      <w:color w:val="605E5C"/>
      <w:shd w:val="clear" w:color="auto" w:fill="E1DFDD"/>
    </w:rPr>
  </w:style>
  <w:style w:type="paragraph" w:styleId="Header">
    <w:name w:val="header"/>
    <w:basedOn w:val="Normal"/>
    <w:link w:val="HeaderChar"/>
    <w:uiPriority w:val="99"/>
    <w:unhideWhenUsed/>
    <w:rsid w:val="002A6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39D"/>
  </w:style>
  <w:style w:type="paragraph" w:styleId="Footer">
    <w:name w:val="footer"/>
    <w:basedOn w:val="Normal"/>
    <w:link w:val="FooterChar"/>
    <w:uiPriority w:val="99"/>
    <w:unhideWhenUsed/>
    <w:rsid w:val="002A6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39D"/>
  </w:style>
  <w:style w:type="character" w:styleId="PlaceholderText">
    <w:name w:val="Placeholder Text"/>
    <w:basedOn w:val="DefaultParagraphFont"/>
    <w:uiPriority w:val="99"/>
    <w:semiHidden/>
    <w:rsid w:val="00AF5571"/>
    <w:rPr>
      <w:color w:val="808080"/>
    </w:rPr>
  </w:style>
  <w:style w:type="character" w:styleId="CommentReference">
    <w:name w:val="annotation reference"/>
    <w:basedOn w:val="DefaultParagraphFont"/>
    <w:uiPriority w:val="99"/>
    <w:semiHidden/>
    <w:unhideWhenUsed/>
    <w:rsid w:val="006236E2"/>
    <w:rPr>
      <w:sz w:val="16"/>
      <w:szCs w:val="16"/>
    </w:rPr>
  </w:style>
  <w:style w:type="paragraph" w:styleId="CommentText">
    <w:name w:val="annotation text"/>
    <w:basedOn w:val="Normal"/>
    <w:link w:val="CommentTextChar"/>
    <w:uiPriority w:val="99"/>
    <w:semiHidden/>
    <w:unhideWhenUsed/>
    <w:rsid w:val="006236E2"/>
    <w:pPr>
      <w:spacing w:line="240" w:lineRule="auto"/>
    </w:pPr>
    <w:rPr>
      <w:sz w:val="20"/>
      <w:szCs w:val="20"/>
    </w:rPr>
  </w:style>
  <w:style w:type="character" w:customStyle="1" w:styleId="CommentTextChar">
    <w:name w:val="Comment Text Char"/>
    <w:basedOn w:val="DefaultParagraphFont"/>
    <w:link w:val="CommentText"/>
    <w:uiPriority w:val="99"/>
    <w:semiHidden/>
    <w:rsid w:val="006236E2"/>
    <w:rPr>
      <w:sz w:val="20"/>
      <w:szCs w:val="20"/>
    </w:rPr>
  </w:style>
  <w:style w:type="paragraph" w:styleId="CommentSubject">
    <w:name w:val="annotation subject"/>
    <w:basedOn w:val="CommentText"/>
    <w:next w:val="CommentText"/>
    <w:link w:val="CommentSubjectChar"/>
    <w:uiPriority w:val="99"/>
    <w:semiHidden/>
    <w:unhideWhenUsed/>
    <w:rsid w:val="006236E2"/>
    <w:rPr>
      <w:b/>
      <w:bCs/>
    </w:rPr>
  </w:style>
  <w:style w:type="character" w:customStyle="1" w:styleId="CommentSubjectChar">
    <w:name w:val="Comment Subject Char"/>
    <w:basedOn w:val="CommentTextChar"/>
    <w:link w:val="CommentSubject"/>
    <w:uiPriority w:val="99"/>
    <w:semiHidden/>
    <w:rsid w:val="006236E2"/>
    <w:rPr>
      <w:b/>
      <w:bCs/>
      <w:sz w:val="20"/>
      <w:szCs w:val="20"/>
    </w:rPr>
  </w:style>
  <w:style w:type="paragraph" w:styleId="BalloonText">
    <w:name w:val="Balloon Text"/>
    <w:basedOn w:val="Normal"/>
    <w:link w:val="BalloonTextChar"/>
    <w:uiPriority w:val="99"/>
    <w:semiHidden/>
    <w:unhideWhenUsed/>
    <w:rsid w:val="006236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36E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92161">
      <w:bodyDiv w:val="1"/>
      <w:marLeft w:val="0"/>
      <w:marRight w:val="0"/>
      <w:marTop w:val="0"/>
      <w:marBottom w:val="0"/>
      <w:divBdr>
        <w:top w:val="none" w:sz="0" w:space="0" w:color="auto"/>
        <w:left w:val="none" w:sz="0" w:space="0" w:color="auto"/>
        <w:bottom w:val="none" w:sz="0" w:space="0" w:color="auto"/>
        <w:right w:val="none" w:sz="0" w:space="0" w:color="auto"/>
      </w:divBdr>
    </w:div>
    <w:div w:id="277025375">
      <w:bodyDiv w:val="1"/>
      <w:marLeft w:val="0"/>
      <w:marRight w:val="0"/>
      <w:marTop w:val="0"/>
      <w:marBottom w:val="0"/>
      <w:divBdr>
        <w:top w:val="none" w:sz="0" w:space="0" w:color="auto"/>
        <w:left w:val="none" w:sz="0" w:space="0" w:color="auto"/>
        <w:bottom w:val="none" w:sz="0" w:space="0" w:color="auto"/>
        <w:right w:val="none" w:sz="0" w:space="0" w:color="auto"/>
      </w:divBdr>
    </w:div>
    <w:div w:id="1316227635">
      <w:bodyDiv w:val="1"/>
      <w:marLeft w:val="0"/>
      <w:marRight w:val="0"/>
      <w:marTop w:val="0"/>
      <w:marBottom w:val="0"/>
      <w:divBdr>
        <w:top w:val="none" w:sz="0" w:space="0" w:color="auto"/>
        <w:left w:val="none" w:sz="0" w:space="0" w:color="auto"/>
        <w:bottom w:val="none" w:sz="0" w:space="0" w:color="auto"/>
        <w:right w:val="none" w:sz="0" w:space="0" w:color="auto"/>
      </w:divBdr>
    </w:div>
    <w:div w:id="1561136019">
      <w:bodyDiv w:val="1"/>
      <w:marLeft w:val="0"/>
      <w:marRight w:val="0"/>
      <w:marTop w:val="0"/>
      <w:marBottom w:val="0"/>
      <w:divBdr>
        <w:top w:val="none" w:sz="0" w:space="0" w:color="auto"/>
        <w:left w:val="none" w:sz="0" w:space="0" w:color="auto"/>
        <w:bottom w:val="none" w:sz="0" w:space="0" w:color="auto"/>
        <w:right w:val="none" w:sz="0" w:space="0" w:color="auto"/>
      </w:divBdr>
    </w:div>
    <w:div w:id="1606842619">
      <w:bodyDiv w:val="1"/>
      <w:marLeft w:val="0"/>
      <w:marRight w:val="0"/>
      <w:marTop w:val="0"/>
      <w:marBottom w:val="0"/>
      <w:divBdr>
        <w:top w:val="none" w:sz="0" w:space="0" w:color="auto"/>
        <w:left w:val="none" w:sz="0" w:space="0" w:color="auto"/>
        <w:bottom w:val="none" w:sz="0" w:space="0" w:color="auto"/>
        <w:right w:val="none" w:sz="0" w:space="0" w:color="auto"/>
      </w:divBdr>
    </w:div>
    <w:div w:id="2140949767">
      <w:bodyDiv w:val="1"/>
      <w:marLeft w:val="0"/>
      <w:marRight w:val="0"/>
      <w:marTop w:val="0"/>
      <w:marBottom w:val="0"/>
      <w:divBdr>
        <w:top w:val="none" w:sz="0" w:space="0" w:color="auto"/>
        <w:left w:val="none" w:sz="0" w:space="0" w:color="auto"/>
        <w:bottom w:val="none" w:sz="0" w:space="0" w:color="auto"/>
        <w:right w:val="none" w:sz="0" w:space="0" w:color="auto"/>
      </w:divBdr>
      <w:divsChild>
        <w:div w:id="291133066">
          <w:marLeft w:val="0"/>
          <w:marRight w:val="0"/>
          <w:marTop w:val="0"/>
          <w:marBottom w:val="0"/>
          <w:divBdr>
            <w:top w:val="none" w:sz="0" w:space="0" w:color="auto"/>
            <w:left w:val="none" w:sz="0" w:space="0" w:color="auto"/>
            <w:bottom w:val="none" w:sz="0" w:space="0" w:color="auto"/>
            <w:right w:val="none" w:sz="0" w:space="0" w:color="auto"/>
          </w:divBdr>
        </w:div>
        <w:div w:id="70347623">
          <w:marLeft w:val="0"/>
          <w:marRight w:val="0"/>
          <w:marTop w:val="0"/>
          <w:marBottom w:val="0"/>
          <w:divBdr>
            <w:top w:val="none" w:sz="0" w:space="0" w:color="auto"/>
            <w:left w:val="none" w:sz="0" w:space="0" w:color="auto"/>
            <w:bottom w:val="none" w:sz="0" w:space="0" w:color="auto"/>
            <w:right w:val="none" w:sz="0" w:space="0" w:color="auto"/>
          </w:divBdr>
          <w:divsChild>
            <w:div w:id="2345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F5E64A2D4614CB037EFDF10FB850A" ma:contentTypeVersion="13" ma:contentTypeDescription="Create a new document." ma:contentTypeScope="" ma:versionID="4b330ff3f966d7384c7a9fc4d424d782">
  <xsd:schema xmlns:xsd="http://www.w3.org/2001/XMLSchema" xmlns:xs="http://www.w3.org/2001/XMLSchema" xmlns:p="http://schemas.microsoft.com/office/2006/metadata/properties" xmlns:ns3="0cb386ff-0b6b-442f-b3ab-e87026f1df90" xmlns:ns4="89fa6c78-12d7-48a9-97bf-8fa4bf8bd730" targetNamespace="http://schemas.microsoft.com/office/2006/metadata/properties" ma:root="true" ma:fieldsID="4f03e6e5ad3ec3ac1a00e85ed14b55f0" ns3:_="" ns4:_="">
    <xsd:import namespace="0cb386ff-0b6b-442f-b3ab-e87026f1df90"/>
    <xsd:import namespace="89fa6c78-12d7-48a9-97bf-8fa4bf8bd7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386ff-0b6b-442f-b3ab-e87026f1d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a6c78-12d7-48a9-97bf-8fa4bf8bd7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DE3BD-3706-4F48-AAE7-FCB94866F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386ff-0b6b-442f-b3ab-e87026f1df90"/>
    <ds:schemaRef ds:uri="89fa6c78-12d7-48a9-97bf-8fa4bf8bd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04444-219F-4C0D-BC11-B8CF9A35AABA}">
  <ds:schemaRefs>
    <ds:schemaRef ds:uri="http://schemas.microsoft.com/sharepoint/v3/contenttype/forms"/>
  </ds:schemaRefs>
</ds:datastoreItem>
</file>

<file path=customXml/itemProps3.xml><?xml version="1.0" encoding="utf-8"?>
<ds:datastoreItem xmlns:ds="http://schemas.openxmlformats.org/officeDocument/2006/customXml" ds:itemID="{96F973AC-3D28-4CA3-8A36-A223CAA8AC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cb386ff-0b6b-442f-b3ab-e87026f1df90"/>
    <ds:schemaRef ds:uri="http://purl.org/dc/terms/"/>
    <ds:schemaRef ds:uri="89fa6c78-12d7-48a9-97bf-8fa4bf8bd730"/>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8169CD6-F6A7-45EF-B182-2D055490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3763</Words>
  <Characters>21453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Cant</dc:creator>
  <cp:keywords/>
  <dc:description/>
  <cp:lastModifiedBy>Alanna Cant</cp:lastModifiedBy>
  <cp:revision>2</cp:revision>
  <dcterms:created xsi:type="dcterms:W3CDTF">2020-09-14T08:08:00Z</dcterms:created>
  <dcterms:modified xsi:type="dcterms:W3CDTF">2020-09-14T08:08:00Z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0x010100090F5E64A2D4614CB037EFDF10FB850A</vt:lpwstr>
  </property>
</Properties>
</file>